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974D" w14:textId="0DF3CBE8" w:rsidR="00854BB9" w:rsidRDefault="00854BB9" w:rsidP="00084399">
      <w:pPr>
        <w:rPr>
          <w:noProof/>
        </w:rPr>
      </w:pPr>
      <w:bookmarkStart w:id="0" w:name="_Hlk55898374"/>
      <w:bookmarkEnd w:id="0"/>
    </w:p>
    <w:p w14:paraId="18ED9D33" w14:textId="1ABC4B17" w:rsidR="0061758C" w:rsidRDefault="0061758C" w:rsidP="00084399">
      <w:pPr>
        <w:rPr>
          <w:noProof/>
        </w:rPr>
      </w:pPr>
    </w:p>
    <w:p w14:paraId="6CC8E8BE" w14:textId="77777777" w:rsidR="00224665" w:rsidRDefault="00224665" w:rsidP="00084399">
      <w:pPr>
        <w:rPr>
          <w:noProof/>
        </w:rPr>
      </w:pPr>
    </w:p>
    <w:p w14:paraId="04F1A37C" w14:textId="77777777" w:rsidR="00224665" w:rsidRDefault="00224665" w:rsidP="00084399">
      <w:pPr>
        <w:rPr>
          <w:noProof/>
        </w:rPr>
      </w:pPr>
    </w:p>
    <w:p w14:paraId="7E2CCA20" w14:textId="77777777" w:rsidR="00224665" w:rsidRDefault="00224665" w:rsidP="00084399">
      <w:pPr>
        <w:rPr>
          <w:noProof/>
        </w:rPr>
      </w:pPr>
    </w:p>
    <w:p w14:paraId="6AF58813" w14:textId="77777777" w:rsidR="00224665" w:rsidRDefault="00224665" w:rsidP="00084399">
      <w:pPr>
        <w:rPr>
          <w:noProof/>
        </w:rPr>
      </w:pPr>
    </w:p>
    <w:p w14:paraId="7E9244A8" w14:textId="77777777" w:rsidR="00224665" w:rsidRDefault="00224665" w:rsidP="00084399">
      <w:pPr>
        <w:rPr>
          <w:noProof/>
        </w:rPr>
      </w:pPr>
    </w:p>
    <w:p w14:paraId="3D319B29" w14:textId="77777777" w:rsidR="00224665" w:rsidRDefault="00224665" w:rsidP="00084399">
      <w:pPr>
        <w:rPr>
          <w:noProof/>
        </w:rPr>
      </w:pPr>
    </w:p>
    <w:p w14:paraId="1247A0EE" w14:textId="77777777" w:rsidR="00224665" w:rsidRDefault="00224665" w:rsidP="00084399">
      <w:pPr>
        <w:rPr>
          <w:noProof/>
        </w:rPr>
      </w:pPr>
    </w:p>
    <w:p w14:paraId="466B80A9" w14:textId="77777777" w:rsidR="00224665" w:rsidRDefault="00224665" w:rsidP="00084399">
      <w:pPr>
        <w:rPr>
          <w:noProof/>
        </w:rPr>
      </w:pPr>
    </w:p>
    <w:p w14:paraId="48D1DC41" w14:textId="77777777" w:rsidR="00224665" w:rsidRDefault="00224665" w:rsidP="00084399">
      <w:pPr>
        <w:rPr>
          <w:noProof/>
        </w:rPr>
      </w:pPr>
    </w:p>
    <w:p w14:paraId="5C0B2F5B" w14:textId="77777777" w:rsidR="004772FC" w:rsidRPr="00A011D1" w:rsidRDefault="006F20F6" w:rsidP="00A011D1">
      <w:pPr>
        <w:pStyle w:val="Ttulo1"/>
        <w:numPr>
          <w:ilvl w:val="0"/>
          <w:numId w:val="0"/>
        </w:numPr>
        <w:ind w:left="284" w:hanging="284"/>
        <w:jc w:val="right"/>
        <w:rPr>
          <w:rStyle w:val="nfasissutil"/>
          <w:sz w:val="56"/>
          <w:szCs w:val="56"/>
        </w:rPr>
      </w:pPr>
      <w:r w:rsidRPr="00A011D1">
        <w:rPr>
          <w:rStyle w:val="nfasissutil"/>
          <w:sz w:val="56"/>
          <w:szCs w:val="56"/>
        </w:rPr>
        <w:t xml:space="preserve">Propuesta Presupuesto 2022 </w:t>
      </w:r>
    </w:p>
    <w:p w14:paraId="2DAE7384" w14:textId="71BC335B" w:rsidR="006F20F6" w:rsidRPr="006F20F6" w:rsidRDefault="006F20F6" w:rsidP="00A011D1">
      <w:pPr>
        <w:jc w:val="right"/>
        <w:rPr>
          <w:sz w:val="44"/>
          <w:szCs w:val="44"/>
        </w:rPr>
      </w:pPr>
      <w:r w:rsidRPr="004772FC">
        <w:rPr>
          <w:sz w:val="28"/>
          <w:szCs w:val="28"/>
        </w:rPr>
        <w:t>FUNDACIÓN BARCELONA MOBILE WORLD CAPITAL</w:t>
      </w:r>
    </w:p>
    <w:p w14:paraId="771568DD" w14:textId="77777777" w:rsidR="00224665" w:rsidRDefault="00224665" w:rsidP="00084399">
      <w:pPr>
        <w:rPr>
          <w:noProof/>
        </w:rPr>
      </w:pPr>
    </w:p>
    <w:p w14:paraId="37448E18" w14:textId="77777777" w:rsidR="00224665" w:rsidRDefault="00224665" w:rsidP="00084399">
      <w:pPr>
        <w:rPr>
          <w:noProof/>
        </w:rPr>
      </w:pPr>
    </w:p>
    <w:p w14:paraId="536C563C" w14:textId="77777777" w:rsidR="00224665" w:rsidRDefault="00224665" w:rsidP="00084399">
      <w:pPr>
        <w:rPr>
          <w:noProof/>
        </w:rPr>
      </w:pPr>
    </w:p>
    <w:p w14:paraId="5646B77B" w14:textId="77777777" w:rsidR="00224665" w:rsidRDefault="00224665" w:rsidP="00084399">
      <w:pPr>
        <w:rPr>
          <w:noProof/>
        </w:rPr>
      </w:pPr>
    </w:p>
    <w:p w14:paraId="15DA3CD6" w14:textId="77777777" w:rsidR="00224665" w:rsidRDefault="00224665" w:rsidP="00084399">
      <w:pPr>
        <w:rPr>
          <w:noProof/>
        </w:rPr>
      </w:pPr>
    </w:p>
    <w:p w14:paraId="2D77BDC5" w14:textId="77777777" w:rsidR="00224665" w:rsidRDefault="00224665" w:rsidP="00084399">
      <w:pPr>
        <w:rPr>
          <w:noProof/>
        </w:rPr>
      </w:pPr>
    </w:p>
    <w:p w14:paraId="6077CBD5" w14:textId="77777777" w:rsidR="00224665" w:rsidRDefault="00224665" w:rsidP="00084399">
      <w:pPr>
        <w:rPr>
          <w:noProof/>
        </w:rPr>
      </w:pPr>
    </w:p>
    <w:p w14:paraId="43676B4F" w14:textId="77777777" w:rsidR="00224665" w:rsidRDefault="00224665" w:rsidP="00084399">
      <w:pPr>
        <w:rPr>
          <w:noProof/>
        </w:rPr>
      </w:pPr>
    </w:p>
    <w:p w14:paraId="38C76EAB" w14:textId="77777777" w:rsidR="00224665" w:rsidRDefault="00224665" w:rsidP="00084399">
      <w:pPr>
        <w:rPr>
          <w:noProof/>
        </w:rPr>
      </w:pPr>
    </w:p>
    <w:p w14:paraId="0E5D9F87" w14:textId="77777777" w:rsidR="00224665" w:rsidRDefault="00224665" w:rsidP="00084399">
      <w:pPr>
        <w:rPr>
          <w:noProof/>
        </w:rPr>
      </w:pPr>
    </w:p>
    <w:p w14:paraId="63132D2C" w14:textId="77777777" w:rsidR="00224665" w:rsidRDefault="00224665" w:rsidP="00084399">
      <w:pPr>
        <w:rPr>
          <w:noProof/>
        </w:rPr>
      </w:pPr>
    </w:p>
    <w:p w14:paraId="5C85AD14" w14:textId="77777777" w:rsidR="00224665" w:rsidRDefault="00224665" w:rsidP="00084399">
      <w:pPr>
        <w:rPr>
          <w:noProof/>
        </w:rPr>
      </w:pPr>
    </w:p>
    <w:p w14:paraId="330703DC" w14:textId="77777777" w:rsidR="00224665" w:rsidRDefault="00224665" w:rsidP="00084399">
      <w:pPr>
        <w:rPr>
          <w:noProof/>
        </w:rPr>
      </w:pPr>
    </w:p>
    <w:p w14:paraId="427093CE" w14:textId="77777777" w:rsidR="00224665" w:rsidRPr="00177491" w:rsidRDefault="00224665" w:rsidP="00084399"/>
    <w:p w14:paraId="628C8E4C" w14:textId="453BF4F1" w:rsidR="00D46E1A" w:rsidRDefault="00D46E1A" w:rsidP="00084399"/>
    <w:p w14:paraId="28309AA4" w14:textId="77777777" w:rsidR="00D46E1A" w:rsidRPr="00177491" w:rsidRDefault="00D46E1A" w:rsidP="00084399"/>
    <w:bookmarkStart w:id="1" w:name="_Toc85297112"/>
    <w:p w14:paraId="20523812" w14:textId="77777777" w:rsidR="009E2A5F" w:rsidRDefault="0017038D" w:rsidP="00CB723E">
      <w:pPr>
        <w:pStyle w:val="Ttulo1"/>
        <w:numPr>
          <w:ilvl w:val="0"/>
          <w:numId w:val="0"/>
        </w:numPr>
        <w:ind w:left="284" w:hanging="284"/>
        <w:rPr>
          <w:rFonts w:ascii="Graphik Regular" w:hAnsi="Graphik Regular"/>
          <w:sz w:val="20"/>
        </w:rPr>
      </w:pPr>
      <w:r w:rsidRPr="00F1717C">
        <w:rPr>
          <w:noProof/>
        </w:rPr>
        <mc:AlternateContent>
          <mc:Choice Requires="wps">
            <w:drawing>
              <wp:anchor distT="0" distB="0" distL="114300" distR="114300" simplePos="0" relativeHeight="251658241" behindDoc="0" locked="1" layoutInCell="1" allowOverlap="1" wp14:anchorId="4D7264AA" wp14:editId="08B2773B">
                <wp:simplePos x="0" y="0"/>
                <wp:positionH relativeFrom="margin">
                  <wp:align>left</wp:align>
                </wp:positionH>
                <wp:positionV relativeFrom="margin">
                  <wp:posOffset>0</wp:posOffset>
                </wp:positionV>
                <wp:extent cx="829310" cy="287020"/>
                <wp:effectExtent l="0" t="0" r="8890" b="0"/>
                <wp:wrapTopAndBottom/>
                <wp:docPr id="178" name="Cuadro de texto 178"/>
                <wp:cNvGraphicFramePr/>
                <a:graphic xmlns:a="http://schemas.openxmlformats.org/drawingml/2006/main">
                  <a:graphicData uri="http://schemas.microsoft.com/office/word/2010/wordprocessingShape">
                    <wps:wsp>
                      <wps:cNvSpPr txBox="1"/>
                      <wps:spPr>
                        <a:xfrm>
                          <a:off x="0" y="0"/>
                          <a:ext cx="829310" cy="287020"/>
                        </a:xfrm>
                        <a:prstGeom prst="rect">
                          <a:avLst/>
                        </a:prstGeom>
                        <a:solidFill>
                          <a:srgbClr val="C00000"/>
                        </a:solidFill>
                        <a:ln w="6350">
                          <a:noFill/>
                        </a:ln>
                      </wps:spPr>
                      <wps:txbx>
                        <w:txbxContent>
                          <w:p w14:paraId="324D9A98" w14:textId="77777777" w:rsidR="0065362D" w:rsidRPr="0063304E" w:rsidRDefault="0065362D" w:rsidP="00321587">
                            <w:pPr>
                              <w:pStyle w:val="Ttulo1"/>
                              <w:numPr>
                                <w:ilvl w:val="0"/>
                                <w:numId w:val="0"/>
                              </w:numPr>
                              <w:ind w:left="284" w:hanging="284"/>
                              <w:rPr>
                                <w:rStyle w:val="nfasissutil"/>
                                <w:sz w:val="22"/>
                              </w:rPr>
                            </w:pPr>
                            <w:bookmarkStart w:id="2" w:name="_Toc55902049"/>
                            <w:bookmarkStart w:id="3" w:name="_Toc85297111"/>
                            <w:r w:rsidRPr="0063304E">
                              <w:rPr>
                                <w:rStyle w:val="nfasissutil"/>
                                <w:sz w:val="22"/>
                              </w:rPr>
                              <w:t>ÍNDICE</w:t>
                            </w:r>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264AA" id="_x0000_t202" coordsize="21600,21600" o:spt="202" path="m,l,21600r21600,l21600,xe">
                <v:stroke joinstyle="miter"/>
                <v:path gradientshapeok="t" o:connecttype="rect"/>
              </v:shapetype>
              <v:shape id="Cuadro de texto 178" o:spid="_x0000_s1026" type="#_x0000_t202" style="position:absolute;left:0;text-align:left;margin-left:0;margin-top:0;width:65.3pt;height:22.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" fillcolor="#c00000" stroked="f" strokeweight=".5pt">
                <v:textbox>
                  <w:txbxContent>
                    <w:p w14:paraId="324D9A98" w14:textId="77777777" w:rsidR="0065362D" w:rsidRPr="0063304E" w:rsidRDefault="0065362D" w:rsidP="00321587">
                      <w:pPr>
                        <w:pStyle w:val="Ttulo1"/>
                        <w:numPr>
                          <w:ilvl w:val="0"/>
                          <w:numId w:val="0"/>
                        </w:numPr>
                        <w:ind w:left="284" w:hanging="284"/>
                        <w:rPr>
                          <w:rStyle w:val="nfasissutil"/>
                          <w:sz w:val="22"/>
                        </w:rPr>
                      </w:pPr>
                      <w:bookmarkStart w:id="4" w:name="_Toc55902049"/>
                      <w:bookmarkStart w:id="5" w:name="_Toc85297111"/>
                      <w:r w:rsidRPr="0063304E">
                        <w:rPr>
                          <w:rStyle w:val="nfasissutil"/>
                          <w:sz w:val="22"/>
                        </w:rPr>
                        <w:t>ÍNDICE</w:t>
                      </w:r>
                      <w:bookmarkEnd w:id="4"/>
                      <w:bookmarkEnd w:id="5"/>
                    </w:p>
                  </w:txbxContent>
                </v:textbox>
                <w10:wrap type="topAndBottom" anchorx="margin" anchory="margin"/>
                <w10:anchorlock/>
              </v:shape>
            </w:pict>
          </mc:Fallback>
        </mc:AlternateContent>
      </w:r>
      <w:bookmarkEnd w:id="1"/>
    </w:p>
    <w:sdt>
      <w:sdtPr>
        <w:id w:val="-283973776"/>
        <w:docPartObj>
          <w:docPartGallery w:val="Table of Contents"/>
          <w:docPartUnique/>
        </w:docPartObj>
      </w:sdtPr>
      <w:sdtEndPr>
        <w:rPr>
          <w:b/>
          <w:bCs/>
        </w:rPr>
      </w:sdtEndPr>
      <w:sdtContent>
        <w:p w14:paraId="299E1CDE" w14:textId="5F878E41" w:rsidR="007339FC" w:rsidRDefault="00072C3A" w:rsidP="0061758C">
          <w:pPr>
            <w:pStyle w:val="TDC1"/>
            <w:tabs>
              <w:tab w:val="right" w:leader="dot" w:pos="8494"/>
            </w:tabs>
            <w:rPr>
              <w:rFonts w:asciiTheme="minorHAnsi" w:eastAsiaTheme="minorEastAsia" w:hAnsiTheme="minorHAnsi" w:cstheme="minorBidi"/>
              <w:noProof/>
              <w:sz w:val="22"/>
              <w:szCs w:val="22"/>
              <w:lang w:eastAsia="es-ES"/>
            </w:rPr>
          </w:pPr>
          <w:r w:rsidRPr="00EB6871">
            <w:rPr>
              <w:rFonts w:ascii="Graphik Black" w:hAnsi="Graphik Black"/>
              <w:sz w:val="22"/>
            </w:rPr>
            <w:fldChar w:fldCharType="begin"/>
          </w:r>
          <w:r w:rsidRPr="00EB6871">
            <w:instrText xml:space="preserve"> TOC \o "1-3" \h \z \u </w:instrText>
          </w:r>
          <w:r w:rsidRPr="00EB6871">
            <w:rPr>
              <w:rFonts w:ascii="Graphik Black" w:hAnsi="Graphik Black"/>
              <w:sz w:val="22"/>
            </w:rPr>
            <w:fldChar w:fldCharType="separate"/>
          </w:r>
        </w:p>
        <w:p w14:paraId="31C649F7" w14:textId="5D830C8B" w:rsidR="007339FC" w:rsidRDefault="000354B0">
          <w:pPr>
            <w:pStyle w:val="TDC1"/>
            <w:tabs>
              <w:tab w:val="left" w:pos="440"/>
              <w:tab w:val="right" w:leader="dot" w:pos="8494"/>
            </w:tabs>
            <w:rPr>
              <w:rFonts w:asciiTheme="minorHAnsi" w:eastAsiaTheme="minorEastAsia" w:hAnsiTheme="minorHAnsi" w:cstheme="minorBidi"/>
              <w:noProof/>
              <w:sz w:val="22"/>
              <w:szCs w:val="22"/>
              <w:lang w:eastAsia="es-ES"/>
            </w:rPr>
          </w:pPr>
          <w:hyperlink r:id="rId11" w:anchor="_Toc85297113" w:history="1">
            <w:r w:rsidR="007339FC" w:rsidRPr="00FA123C">
              <w:rPr>
                <w:rStyle w:val="Hipervnculo"/>
                <w:noProof/>
              </w:rPr>
              <w:t>1.</w:t>
            </w:r>
            <w:r w:rsidR="007339FC">
              <w:rPr>
                <w:rFonts w:asciiTheme="minorHAnsi" w:eastAsiaTheme="minorEastAsia" w:hAnsiTheme="minorHAnsi" w:cstheme="minorBidi"/>
                <w:noProof/>
                <w:sz w:val="22"/>
                <w:szCs w:val="22"/>
                <w:lang w:eastAsia="es-ES"/>
              </w:rPr>
              <w:tab/>
            </w:r>
            <w:r w:rsidR="007339FC" w:rsidRPr="00FA123C">
              <w:rPr>
                <w:rStyle w:val="Hipervnculo"/>
                <w:noProof/>
              </w:rPr>
              <w:t>INTRODUCCIÓN</w:t>
            </w:r>
            <w:r w:rsidR="007339FC">
              <w:rPr>
                <w:noProof/>
                <w:webHidden/>
              </w:rPr>
              <w:tab/>
            </w:r>
            <w:r w:rsidR="007339FC">
              <w:rPr>
                <w:noProof/>
                <w:webHidden/>
              </w:rPr>
              <w:fldChar w:fldCharType="begin"/>
            </w:r>
            <w:r w:rsidR="007339FC">
              <w:rPr>
                <w:noProof/>
                <w:webHidden/>
              </w:rPr>
              <w:instrText xml:space="preserve"> PAGEREF _Toc85297113 \h </w:instrText>
            </w:r>
            <w:r w:rsidR="007339FC">
              <w:rPr>
                <w:noProof/>
                <w:webHidden/>
              </w:rPr>
            </w:r>
            <w:r w:rsidR="007339FC">
              <w:rPr>
                <w:noProof/>
                <w:webHidden/>
              </w:rPr>
              <w:fldChar w:fldCharType="separate"/>
            </w:r>
            <w:r w:rsidR="007339FC">
              <w:rPr>
                <w:noProof/>
                <w:webHidden/>
              </w:rPr>
              <w:t>3</w:t>
            </w:r>
            <w:r w:rsidR="007339FC">
              <w:rPr>
                <w:noProof/>
                <w:webHidden/>
              </w:rPr>
              <w:fldChar w:fldCharType="end"/>
            </w:r>
          </w:hyperlink>
        </w:p>
        <w:p w14:paraId="1F104FFD" w14:textId="6E4F512D" w:rsidR="007339FC" w:rsidRDefault="000354B0">
          <w:pPr>
            <w:pStyle w:val="TDC1"/>
            <w:tabs>
              <w:tab w:val="left" w:pos="440"/>
              <w:tab w:val="right" w:leader="dot" w:pos="8494"/>
            </w:tabs>
            <w:rPr>
              <w:rFonts w:asciiTheme="minorHAnsi" w:eastAsiaTheme="minorEastAsia" w:hAnsiTheme="minorHAnsi" w:cstheme="minorBidi"/>
              <w:noProof/>
              <w:sz w:val="22"/>
              <w:szCs w:val="22"/>
              <w:lang w:eastAsia="es-ES"/>
            </w:rPr>
          </w:pPr>
          <w:hyperlink r:id="rId12" w:anchor="_Toc85297114" w:history="1">
            <w:r w:rsidR="007339FC" w:rsidRPr="00FA123C">
              <w:rPr>
                <w:rStyle w:val="Hipervnculo"/>
                <w:noProof/>
              </w:rPr>
              <w:t>2.</w:t>
            </w:r>
            <w:r w:rsidR="007339FC">
              <w:rPr>
                <w:rFonts w:asciiTheme="minorHAnsi" w:eastAsiaTheme="minorEastAsia" w:hAnsiTheme="minorHAnsi" w:cstheme="minorBidi"/>
                <w:noProof/>
                <w:sz w:val="22"/>
                <w:szCs w:val="22"/>
                <w:lang w:eastAsia="es-ES"/>
              </w:rPr>
              <w:tab/>
            </w:r>
            <w:r w:rsidR="007339FC" w:rsidRPr="00FA123C">
              <w:rPr>
                <w:rStyle w:val="Hipervnculo"/>
                <w:noProof/>
              </w:rPr>
              <w:t>CONSIDERACIONES PREVIAS</w:t>
            </w:r>
            <w:r w:rsidR="007339FC">
              <w:rPr>
                <w:noProof/>
                <w:webHidden/>
              </w:rPr>
              <w:tab/>
            </w:r>
            <w:r w:rsidR="007339FC">
              <w:rPr>
                <w:noProof/>
                <w:webHidden/>
              </w:rPr>
              <w:fldChar w:fldCharType="begin"/>
            </w:r>
            <w:r w:rsidR="007339FC">
              <w:rPr>
                <w:noProof/>
                <w:webHidden/>
              </w:rPr>
              <w:instrText xml:space="preserve"> PAGEREF _Toc85297114 \h </w:instrText>
            </w:r>
            <w:r w:rsidR="007339FC">
              <w:rPr>
                <w:noProof/>
                <w:webHidden/>
              </w:rPr>
            </w:r>
            <w:r w:rsidR="007339FC">
              <w:rPr>
                <w:noProof/>
                <w:webHidden/>
              </w:rPr>
              <w:fldChar w:fldCharType="separate"/>
            </w:r>
            <w:r w:rsidR="007339FC">
              <w:rPr>
                <w:noProof/>
                <w:webHidden/>
              </w:rPr>
              <w:t>4</w:t>
            </w:r>
            <w:r w:rsidR="007339FC">
              <w:rPr>
                <w:noProof/>
                <w:webHidden/>
              </w:rPr>
              <w:fldChar w:fldCharType="end"/>
            </w:r>
          </w:hyperlink>
        </w:p>
        <w:p w14:paraId="4FD96CC8" w14:textId="47B6B6A6" w:rsidR="007339FC" w:rsidRDefault="000354B0">
          <w:pPr>
            <w:pStyle w:val="TDC1"/>
            <w:tabs>
              <w:tab w:val="left" w:pos="440"/>
              <w:tab w:val="right" w:leader="dot" w:pos="8494"/>
            </w:tabs>
            <w:rPr>
              <w:rFonts w:asciiTheme="minorHAnsi" w:eastAsiaTheme="minorEastAsia" w:hAnsiTheme="minorHAnsi" w:cstheme="minorBidi"/>
              <w:noProof/>
              <w:sz w:val="22"/>
              <w:szCs w:val="22"/>
              <w:lang w:eastAsia="es-ES"/>
            </w:rPr>
          </w:pPr>
          <w:hyperlink r:id="rId13" w:anchor="_Toc85297115" w:history="1">
            <w:r w:rsidR="007339FC" w:rsidRPr="00FA123C">
              <w:rPr>
                <w:rStyle w:val="Hipervnculo"/>
                <w:noProof/>
              </w:rPr>
              <w:t>3.</w:t>
            </w:r>
            <w:r w:rsidR="007339FC">
              <w:rPr>
                <w:rFonts w:asciiTheme="minorHAnsi" w:eastAsiaTheme="minorEastAsia" w:hAnsiTheme="minorHAnsi" w:cstheme="minorBidi"/>
                <w:noProof/>
                <w:sz w:val="22"/>
                <w:szCs w:val="22"/>
                <w:lang w:eastAsia="es-ES"/>
              </w:rPr>
              <w:tab/>
            </w:r>
            <w:r w:rsidR="007339FC" w:rsidRPr="00FA123C">
              <w:rPr>
                <w:rStyle w:val="Hipervnculo"/>
                <w:noProof/>
              </w:rPr>
              <w:t>CUENTA DE RESULTADOS</w:t>
            </w:r>
            <w:r w:rsidR="007339FC">
              <w:rPr>
                <w:noProof/>
                <w:webHidden/>
              </w:rPr>
              <w:tab/>
            </w:r>
            <w:r w:rsidR="007339FC">
              <w:rPr>
                <w:noProof/>
                <w:webHidden/>
              </w:rPr>
              <w:fldChar w:fldCharType="begin"/>
            </w:r>
            <w:r w:rsidR="007339FC">
              <w:rPr>
                <w:noProof/>
                <w:webHidden/>
              </w:rPr>
              <w:instrText xml:space="preserve"> PAGEREF _Toc85297115 \h </w:instrText>
            </w:r>
            <w:r w:rsidR="007339FC">
              <w:rPr>
                <w:noProof/>
                <w:webHidden/>
              </w:rPr>
            </w:r>
            <w:r w:rsidR="007339FC">
              <w:rPr>
                <w:noProof/>
                <w:webHidden/>
              </w:rPr>
              <w:fldChar w:fldCharType="separate"/>
            </w:r>
            <w:r w:rsidR="007339FC">
              <w:rPr>
                <w:noProof/>
                <w:webHidden/>
              </w:rPr>
              <w:t>6</w:t>
            </w:r>
            <w:r w:rsidR="007339FC">
              <w:rPr>
                <w:noProof/>
                <w:webHidden/>
              </w:rPr>
              <w:fldChar w:fldCharType="end"/>
            </w:r>
          </w:hyperlink>
        </w:p>
        <w:p w14:paraId="632F269F" w14:textId="77021DCE" w:rsidR="007339FC" w:rsidRDefault="000354B0">
          <w:pPr>
            <w:pStyle w:val="TDC2"/>
            <w:tabs>
              <w:tab w:val="right" w:leader="dot" w:pos="8494"/>
            </w:tabs>
            <w:rPr>
              <w:rFonts w:asciiTheme="minorHAnsi" w:eastAsiaTheme="minorEastAsia" w:hAnsiTheme="minorHAnsi" w:cstheme="minorBidi"/>
              <w:noProof/>
              <w:sz w:val="22"/>
              <w:szCs w:val="22"/>
              <w:lang w:eastAsia="es-ES"/>
            </w:rPr>
          </w:pPr>
          <w:hyperlink w:anchor="_Toc85297116" w:history="1">
            <w:r w:rsidR="007339FC" w:rsidRPr="00FA123C">
              <w:rPr>
                <w:rStyle w:val="Hipervnculo"/>
                <w:noProof/>
              </w:rPr>
              <w:t>3.2 Resumen de variaciones del presupuesto 2022 vs previsión de cierre 2021</w:t>
            </w:r>
            <w:r w:rsidR="007339FC">
              <w:rPr>
                <w:noProof/>
                <w:webHidden/>
              </w:rPr>
              <w:tab/>
            </w:r>
            <w:r w:rsidR="007339FC">
              <w:rPr>
                <w:noProof/>
                <w:webHidden/>
              </w:rPr>
              <w:fldChar w:fldCharType="begin"/>
            </w:r>
            <w:r w:rsidR="007339FC">
              <w:rPr>
                <w:noProof/>
                <w:webHidden/>
              </w:rPr>
              <w:instrText xml:space="preserve"> PAGEREF _Toc85297116 \h </w:instrText>
            </w:r>
            <w:r w:rsidR="007339FC">
              <w:rPr>
                <w:noProof/>
                <w:webHidden/>
              </w:rPr>
            </w:r>
            <w:r w:rsidR="007339FC">
              <w:rPr>
                <w:noProof/>
                <w:webHidden/>
              </w:rPr>
              <w:fldChar w:fldCharType="separate"/>
            </w:r>
            <w:r w:rsidR="007339FC">
              <w:rPr>
                <w:noProof/>
                <w:webHidden/>
              </w:rPr>
              <w:t>7</w:t>
            </w:r>
            <w:r w:rsidR="007339FC">
              <w:rPr>
                <w:noProof/>
                <w:webHidden/>
              </w:rPr>
              <w:fldChar w:fldCharType="end"/>
            </w:r>
          </w:hyperlink>
        </w:p>
        <w:p w14:paraId="22E9862B" w14:textId="5B6F3ED4" w:rsidR="007339FC" w:rsidRDefault="000354B0">
          <w:pPr>
            <w:pStyle w:val="TDC2"/>
            <w:tabs>
              <w:tab w:val="right" w:leader="dot" w:pos="8494"/>
            </w:tabs>
            <w:rPr>
              <w:rFonts w:asciiTheme="minorHAnsi" w:eastAsiaTheme="minorEastAsia" w:hAnsiTheme="minorHAnsi" w:cstheme="minorBidi"/>
              <w:noProof/>
              <w:sz w:val="22"/>
              <w:szCs w:val="22"/>
              <w:lang w:eastAsia="es-ES"/>
            </w:rPr>
          </w:pPr>
          <w:hyperlink w:anchor="_Toc85297117" w:history="1">
            <w:r w:rsidR="007339FC" w:rsidRPr="00FA123C">
              <w:rPr>
                <w:rStyle w:val="Hipervnculo"/>
                <w:noProof/>
              </w:rPr>
              <w:t>3.3 Detalle de ingresos</w:t>
            </w:r>
            <w:r w:rsidR="007339FC">
              <w:rPr>
                <w:noProof/>
                <w:webHidden/>
              </w:rPr>
              <w:tab/>
            </w:r>
            <w:r w:rsidR="007339FC">
              <w:rPr>
                <w:noProof/>
                <w:webHidden/>
              </w:rPr>
              <w:fldChar w:fldCharType="begin"/>
            </w:r>
            <w:r w:rsidR="007339FC">
              <w:rPr>
                <w:noProof/>
                <w:webHidden/>
              </w:rPr>
              <w:instrText xml:space="preserve"> PAGEREF _Toc85297117 \h </w:instrText>
            </w:r>
            <w:r w:rsidR="007339FC">
              <w:rPr>
                <w:noProof/>
                <w:webHidden/>
              </w:rPr>
            </w:r>
            <w:r w:rsidR="007339FC">
              <w:rPr>
                <w:noProof/>
                <w:webHidden/>
              </w:rPr>
              <w:fldChar w:fldCharType="separate"/>
            </w:r>
            <w:r w:rsidR="007339FC">
              <w:rPr>
                <w:noProof/>
                <w:webHidden/>
              </w:rPr>
              <w:t>8</w:t>
            </w:r>
            <w:r w:rsidR="007339FC">
              <w:rPr>
                <w:noProof/>
                <w:webHidden/>
              </w:rPr>
              <w:fldChar w:fldCharType="end"/>
            </w:r>
          </w:hyperlink>
        </w:p>
        <w:p w14:paraId="73CCE261" w14:textId="512A7EFF" w:rsidR="007339FC" w:rsidRDefault="000354B0">
          <w:pPr>
            <w:pStyle w:val="TDC2"/>
            <w:tabs>
              <w:tab w:val="right" w:leader="dot" w:pos="8494"/>
            </w:tabs>
            <w:rPr>
              <w:rFonts w:asciiTheme="minorHAnsi" w:eastAsiaTheme="minorEastAsia" w:hAnsiTheme="minorHAnsi" w:cstheme="minorBidi"/>
              <w:noProof/>
              <w:sz w:val="22"/>
              <w:szCs w:val="22"/>
              <w:lang w:eastAsia="es-ES"/>
            </w:rPr>
          </w:pPr>
          <w:hyperlink w:anchor="_Toc85297118" w:history="1">
            <w:r w:rsidR="007339FC" w:rsidRPr="00FA123C">
              <w:rPr>
                <w:rStyle w:val="Hipervnculo"/>
                <w:noProof/>
              </w:rPr>
              <w:t>3.4 Detalle de gastos</w:t>
            </w:r>
            <w:r w:rsidR="007339FC">
              <w:rPr>
                <w:noProof/>
                <w:webHidden/>
              </w:rPr>
              <w:tab/>
            </w:r>
            <w:r w:rsidR="007339FC">
              <w:rPr>
                <w:noProof/>
                <w:webHidden/>
              </w:rPr>
              <w:fldChar w:fldCharType="begin"/>
            </w:r>
            <w:r w:rsidR="007339FC">
              <w:rPr>
                <w:noProof/>
                <w:webHidden/>
              </w:rPr>
              <w:instrText xml:space="preserve"> PAGEREF _Toc85297118 \h </w:instrText>
            </w:r>
            <w:r w:rsidR="007339FC">
              <w:rPr>
                <w:noProof/>
                <w:webHidden/>
              </w:rPr>
            </w:r>
            <w:r w:rsidR="007339FC">
              <w:rPr>
                <w:noProof/>
                <w:webHidden/>
              </w:rPr>
              <w:fldChar w:fldCharType="separate"/>
            </w:r>
            <w:r w:rsidR="007339FC">
              <w:rPr>
                <w:noProof/>
                <w:webHidden/>
              </w:rPr>
              <w:t>10</w:t>
            </w:r>
            <w:r w:rsidR="007339FC">
              <w:rPr>
                <w:noProof/>
                <w:webHidden/>
              </w:rPr>
              <w:fldChar w:fldCharType="end"/>
            </w:r>
          </w:hyperlink>
        </w:p>
        <w:p w14:paraId="16159D60" w14:textId="63DC2C8B" w:rsidR="007339FC" w:rsidRDefault="000354B0">
          <w:pPr>
            <w:pStyle w:val="TDC1"/>
            <w:tabs>
              <w:tab w:val="left" w:pos="440"/>
              <w:tab w:val="right" w:leader="dot" w:pos="8494"/>
            </w:tabs>
            <w:rPr>
              <w:rFonts w:asciiTheme="minorHAnsi" w:eastAsiaTheme="minorEastAsia" w:hAnsiTheme="minorHAnsi" w:cstheme="minorBidi"/>
              <w:noProof/>
              <w:sz w:val="22"/>
              <w:szCs w:val="22"/>
              <w:lang w:eastAsia="es-ES"/>
            </w:rPr>
          </w:pPr>
          <w:hyperlink r:id="rId14" w:anchor="_Toc85297119" w:history="1">
            <w:r w:rsidR="007339FC" w:rsidRPr="00FA123C">
              <w:rPr>
                <w:rStyle w:val="Hipervnculo"/>
                <w:noProof/>
              </w:rPr>
              <w:t>4.</w:t>
            </w:r>
            <w:r w:rsidR="007339FC">
              <w:rPr>
                <w:rFonts w:asciiTheme="minorHAnsi" w:eastAsiaTheme="minorEastAsia" w:hAnsiTheme="minorHAnsi" w:cstheme="minorBidi"/>
                <w:noProof/>
                <w:sz w:val="22"/>
                <w:szCs w:val="22"/>
                <w:lang w:eastAsia="es-ES"/>
              </w:rPr>
              <w:tab/>
            </w:r>
            <w:r w:rsidR="007339FC" w:rsidRPr="00FA123C">
              <w:rPr>
                <w:rStyle w:val="Hipervnculo"/>
                <w:noProof/>
              </w:rPr>
              <w:t>PREVISIÓN DE TESORERÍA PARA EL EJERCICIO 20212</w:t>
            </w:r>
            <w:r w:rsidR="007339FC">
              <w:rPr>
                <w:noProof/>
                <w:webHidden/>
              </w:rPr>
              <w:tab/>
            </w:r>
            <w:r w:rsidR="007339FC">
              <w:rPr>
                <w:noProof/>
                <w:webHidden/>
              </w:rPr>
              <w:fldChar w:fldCharType="begin"/>
            </w:r>
            <w:r w:rsidR="007339FC">
              <w:rPr>
                <w:noProof/>
                <w:webHidden/>
              </w:rPr>
              <w:instrText xml:space="preserve"> PAGEREF _Toc85297119 \h </w:instrText>
            </w:r>
            <w:r w:rsidR="007339FC">
              <w:rPr>
                <w:noProof/>
                <w:webHidden/>
              </w:rPr>
            </w:r>
            <w:r w:rsidR="007339FC">
              <w:rPr>
                <w:noProof/>
                <w:webHidden/>
              </w:rPr>
              <w:fldChar w:fldCharType="separate"/>
            </w:r>
            <w:r w:rsidR="007339FC">
              <w:rPr>
                <w:noProof/>
                <w:webHidden/>
              </w:rPr>
              <w:t>18</w:t>
            </w:r>
            <w:r w:rsidR="007339FC">
              <w:rPr>
                <w:noProof/>
                <w:webHidden/>
              </w:rPr>
              <w:fldChar w:fldCharType="end"/>
            </w:r>
          </w:hyperlink>
        </w:p>
        <w:p w14:paraId="68898C31" w14:textId="6759120C" w:rsidR="007339FC" w:rsidRDefault="000354B0">
          <w:pPr>
            <w:pStyle w:val="TDC1"/>
            <w:tabs>
              <w:tab w:val="left" w:pos="440"/>
              <w:tab w:val="right" w:leader="dot" w:pos="8494"/>
            </w:tabs>
            <w:rPr>
              <w:rFonts w:asciiTheme="minorHAnsi" w:eastAsiaTheme="minorEastAsia" w:hAnsiTheme="minorHAnsi" w:cstheme="minorBidi"/>
              <w:noProof/>
              <w:sz w:val="22"/>
              <w:szCs w:val="22"/>
              <w:lang w:eastAsia="es-ES"/>
            </w:rPr>
          </w:pPr>
          <w:hyperlink r:id="rId15" w:anchor="_Toc85297121" w:history="1">
            <w:r w:rsidR="007339FC" w:rsidRPr="00FA123C">
              <w:rPr>
                <w:rStyle w:val="Hipervnculo"/>
                <w:noProof/>
              </w:rPr>
              <w:t>5.</w:t>
            </w:r>
            <w:r w:rsidR="007339FC">
              <w:rPr>
                <w:rFonts w:asciiTheme="minorHAnsi" w:eastAsiaTheme="minorEastAsia" w:hAnsiTheme="minorHAnsi" w:cstheme="minorBidi"/>
                <w:noProof/>
                <w:sz w:val="22"/>
                <w:szCs w:val="22"/>
                <w:lang w:eastAsia="es-ES"/>
              </w:rPr>
              <w:tab/>
            </w:r>
            <w:r w:rsidR="007339FC" w:rsidRPr="00FA123C">
              <w:rPr>
                <w:rStyle w:val="Hipervnculo"/>
                <w:noProof/>
              </w:rPr>
              <w:t>P&amp;L DEL PRESUPUESTO 2021 POR PROGRAMAS Y ACTIVIDADES</w:t>
            </w:r>
            <w:r w:rsidR="007339FC">
              <w:rPr>
                <w:noProof/>
                <w:webHidden/>
              </w:rPr>
              <w:tab/>
            </w:r>
            <w:r w:rsidR="007339FC">
              <w:rPr>
                <w:noProof/>
                <w:webHidden/>
              </w:rPr>
              <w:fldChar w:fldCharType="begin"/>
            </w:r>
            <w:r w:rsidR="007339FC">
              <w:rPr>
                <w:noProof/>
                <w:webHidden/>
              </w:rPr>
              <w:instrText xml:space="preserve"> PAGEREF _Toc85297121 \h </w:instrText>
            </w:r>
            <w:r w:rsidR="007339FC">
              <w:rPr>
                <w:noProof/>
                <w:webHidden/>
              </w:rPr>
            </w:r>
            <w:r w:rsidR="007339FC">
              <w:rPr>
                <w:noProof/>
                <w:webHidden/>
              </w:rPr>
              <w:fldChar w:fldCharType="separate"/>
            </w:r>
            <w:r w:rsidR="007339FC">
              <w:rPr>
                <w:noProof/>
                <w:webHidden/>
              </w:rPr>
              <w:t>19</w:t>
            </w:r>
            <w:r w:rsidR="007339FC">
              <w:rPr>
                <w:noProof/>
                <w:webHidden/>
              </w:rPr>
              <w:fldChar w:fldCharType="end"/>
            </w:r>
          </w:hyperlink>
        </w:p>
        <w:p w14:paraId="7FD42829" w14:textId="64C7E210" w:rsidR="007339FC" w:rsidRDefault="000354B0">
          <w:pPr>
            <w:pStyle w:val="TDC2"/>
            <w:tabs>
              <w:tab w:val="right" w:leader="dot" w:pos="8494"/>
            </w:tabs>
            <w:rPr>
              <w:rFonts w:asciiTheme="minorHAnsi" w:eastAsiaTheme="minorEastAsia" w:hAnsiTheme="minorHAnsi" w:cstheme="minorBidi"/>
              <w:noProof/>
              <w:sz w:val="22"/>
              <w:szCs w:val="22"/>
              <w:lang w:eastAsia="es-ES"/>
            </w:rPr>
          </w:pPr>
          <w:hyperlink w:anchor="_Toc85297122" w:history="1">
            <w:r w:rsidR="007339FC" w:rsidRPr="00FA123C">
              <w:rPr>
                <w:rStyle w:val="Hipervnculo"/>
                <w:noProof/>
              </w:rPr>
              <w:t>5.1. Digital Future Society</w:t>
            </w:r>
            <w:r w:rsidR="007339FC">
              <w:rPr>
                <w:noProof/>
                <w:webHidden/>
              </w:rPr>
              <w:tab/>
            </w:r>
            <w:r w:rsidR="007339FC">
              <w:rPr>
                <w:noProof/>
                <w:webHidden/>
              </w:rPr>
              <w:fldChar w:fldCharType="begin"/>
            </w:r>
            <w:r w:rsidR="007339FC">
              <w:rPr>
                <w:noProof/>
                <w:webHidden/>
              </w:rPr>
              <w:instrText xml:space="preserve"> PAGEREF _Toc85297122 \h </w:instrText>
            </w:r>
            <w:r w:rsidR="007339FC">
              <w:rPr>
                <w:noProof/>
                <w:webHidden/>
              </w:rPr>
            </w:r>
            <w:r w:rsidR="007339FC">
              <w:rPr>
                <w:noProof/>
                <w:webHidden/>
              </w:rPr>
              <w:fldChar w:fldCharType="separate"/>
            </w:r>
            <w:r w:rsidR="007339FC">
              <w:rPr>
                <w:noProof/>
                <w:webHidden/>
              </w:rPr>
              <w:t>20</w:t>
            </w:r>
            <w:r w:rsidR="007339FC">
              <w:rPr>
                <w:noProof/>
                <w:webHidden/>
              </w:rPr>
              <w:fldChar w:fldCharType="end"/>
            </w:r>
          </w:hyperlink>
        </w:p>
        <w:p w14:paraId="0915B079" w14:textId="16CFCB19" w:rsidR="007339FC" w:rsidRDefault="000354B0">
          <w:pPr>
            <w:pStyle w:val="TDC2"/>
            <w:tabs>
              <w:tab w:val="right" w:leader="dot" w:pos="8494"/>
            </w:tabs>
            <w:rPr>
              <w:rFonts w:asciiTheme="minorHAnsi" w:eastAsiaTheme="minorEastAsia" w:hAnsiTheme="minorHAnsi" w:cstheme="minorBidi"/>
              <w:noProof/>
              <w:sz w:val="22"/>
              <w:szCs w:val="22"/>
              <w:lang w:eastAsia="es-ES"/>
            </w:rPr>
          </w:pPr>
          <w:hyperlink w:anchor="_Toc85297123" w:history="1">
            <w:r w:rsidR="007339FC" w:rsidRPr="00FA123C">
              <w:rPr>
                <w:rStyle w:val="Hipervnculo"/>
                <w:noProof/>
              </w:rPr>
              <w:t>5.2. Barcelona Digital Talent</w:t>
            </w:r>
            <w:r w:rsidR="007339FC">
              <w:rPr>
                <w:noProof/>
                <w:webHidden/>
              </w:rPr>
              <w:tab/>
            </w:r>
            <w:r w:rsidR="007339FC">
              <w:rPr>
                <w:noProof/>
                <w:webHidden/>
              </w:rPr>
              <w:fldChar w:fldCharType="begin"/>
            </w:r>
            <w:r w:rsidR="007339FC">
              <w:rPr>
                <w:noProof/>
                <w:webHidden/>
              </w:rPr>
              <w:instrText xml:space="preserve"> PAGEREF _Toc85297123 \h </w:instrText>
            </w:r>
            <w:r w:rsidR="007339FC">
              <w:rPr>
                <w:noProof/>
                <w:webHidden/>
              </w:rPr>
            </w:r>
            <w:r w:rsidR="007339FC">
              <w:rPr>
                <w:noProof/>
                <w:webHidden/>
              </w:rPr>
              <w:fldChar w:fldCharType="separate"/>
            </w:r>
            <w:r w:rsidR="007339FC">
              <w:rPr>
                <w:noProof/>
                <w:webHidden/>
              </w:rPr>
              <w:t>22</w:t>
            </w:r>
            <w:r w:rsidR="007339FC">
              <w:rPr>
                <w:noProof/>
                <w:webHidden/>
              </w:rPr>
              <w:fldChar w:fldCharType="end"/>
            </w:r>
          </w:hyperlink>
        </w:p>
        <w:p w14:paraId="201FC3F0" w14:textId="0DF04A72" w:rsidR="007339FC" w:rsidRDefault="000354B0">
          <w:pPr>
            <w:pStyle w:val="TDC2"/>
            <w:tabs>
              <w:tab w:val="right" w:leader="dot" w:pos="8494"/>
            </w:tabs>
            <w:rPr>
              <w:rFonts w:asciiTheme="minorHAnsi" w:eastAsiaTheme="minorEastAsia" w:hAnsiTheme="minorHAnsi" w:cstheme="minorBidi"/>
              <w:noProof/>
              <w:sz w:val="22"/>
              <w:szCs w:val="22"/>
              <w:lang w:eastAsia="es-ES"/>
            </w:rPr>
          </w:pPr>
          <w:hyperlink w:anchor="_Toc85297124" w:history="1">
            <w:r w:rsidR="007339FC" w:rsidRPr="00FA123C">
              <w:rPr>
                <w:rStyle w:val="Hipervnculo"/>
                <w:noProof/>
              </w:rPr>
              <w:t>5.3. 5G Barcelona</w:t>
            </w:r>
            <w:r w:rsidR="007339FC">
              <w:rPr>
                <w:noProof/>
                <w:webHidden/>
              </w:rPr>
              <w:tab/>
            </w:r>
            <w:r w:rsidR="007339FC">
              <w:rPr>
                <w:noProof/>
                <w:webHidden/>
              </w:rPr>
              <w:fldChar w:fldCharType="begin"/>
            </w:r>
            <w:r w:rsidR="007339FC">
              <w:rPr>
                <w:noProof/>
                <w:webHidden/>
              </w:rPr>
              <w:instrText xml:space="preserve"> PAGEREF _Toc85297124 \h </w:instrText>
            </w:r>
            <w:r w:rsidR="007339FC">
              <w:rPr>
                <w:noProof/>
                <w:webHidden/>
              </w:rPr>
            </w:r>
            <w:r w:rsidR="007339FC">
              <w:rPr>
                <w:noProof/>
                <w:webHidden/>
              </w:rPr>
              <w:fldChar w:fldCharType="separate"/>
            </w:r>
            <w:r w:rsidR="007339FC">
              <w:rPr>
                <w:noProof/>
                <w:webHidden/>
              </w:rPr>
              <w:t>28</w:t>
            </w:r>
            <w:r w:rsidR="007339FC">
              <w:rPr>
                <w:noProof/>
                <w:webHidden/>
              </w:rPr>
              <w:fldChar w:fldCharType="end"/>
            </w:r>
          </w:hyperlink>
        </w:p>
        <w:p w14:paraId="7DAC8794" w14:textId="7B6D72F1" w:rsidR="007339FC" w:rsidRDefault="000354B0">
          <w:pPr>
            <w:pStyle w:val="TDC2"/>
            <w:tabs>
              <w:tab w:val="right" w:leader="dot" w:pos="8494"/>
            </w:tabs>
            <w:rPr>
              <w:rFonts w:asciiTheme="minorHAnsi" w:eastAsiaTheme="minorEastAsia" w:hAnsiTheme="minorHAnsi" w:cstheme="minorBidi"/>
              <w:noProof/>
              <w:sz w:val="22"/>
              <w:szCs w:val="22"/>
              <w:lang w:eastAsia="es-ES"/>
            </w:rPr>
          </w:pPr>
          <w:hyperlink w:anchor="_Toc85297125" w:history="1">
            <w:r w:rsidR="007339FC" w:rsidRPr="00FA123C">
              <w:rPr>
                <w:rStyle w:val="Hipervnculo"/>
                <w:noProof/>
              </w:rPr>
              <w:t>5.4. Observatorio Nacional 5G</w:t>
            </w:r>
            <w:r w:rsidR="007339FC">
              <w:rPr>
                <w:noProof/>
                <w:webHidden/>
              </w:rPr>
              <w:tab/>
            </w:r>
            <w:r w:rsidR="007339FC">
              <w:rPr>
                <w:noProof/>
                <w:webHidden/>
              </w:rPr>
              <w:fldChar w:fldCharType="begin"/>
            </w:r>
            <w:r w:rsidR="007339FC">
              <w:rPr>
                <w:noProof/>
                <w:webHidden/>
              </w:rPr>
              <w:instrText xml:space="preserve"> PAGEREF _Toc85297125 \h </w:instrText>
            </w:r>
            <w:r w:rsidR="007339FC">
              <w:rPr>
                <w:noProof/>
                <w:webHidden/>
              </w:rPr>
            </w:r>
            <w:r w:rsidR="007339FC">
              <w:rPr>
                <w:noProof/>
                <w:webHidden/>
              </w:rPr>
              <w:fldChar w:fldCharType="separate"/>
            </w:r>
            <w:r w:rsidR="007339FC">
              <w:rPr>
                <w:noProof/>
                <w:webHidden/>
              </w:rPr>
              <w:t>29</w:t>
            </w:r>
            <w:r w:rsidR="007339FC">
              <w:rPr>
                <w:noProof/>
                <w:webHidden/>
              </w:rPr>
              <w:fldChar w:fldCharType="end"/>
            </w:r>
          </w:hyperlink>
        </w:p>
        <w:p w14:paraId="5EDA3E36" w14:textId="11B15B48" w:rsidR="007339FC" w:rsidRDefault="000354B0">
          <w:pPr>
            <w:pStyle w:val="TDC2"/>
            <w:tabs>
              <w:tab w:val="right" w:leader="dot" w:pos="8494"/>
            </w:tabs>
            <w:rPr>
              <w:rFonts w:asciiTheme="minorHAnsi" w:eastAsiaTheme="minorEastAsia" w:hAnsiTheme="minorHAnsi" w:cstheme="minorBidi"/>
              <w:noProof/>
              <w:sz w:val="22"/>
              <w:szCs w:val="22"/>
              <w:lang w:eastAsia="es-ES"/>
            </w:rPr>
          </w:pPr>
          <w:hyperlink w:anchor="_Toc85297126" w:history="1">
            <w:r w:rsidR="007339FC" w:rsidRPr="00FA123C">
              <w:rPr>
                <w:rStyle w:val="Hipervnculo"/>
                <w:noProof/>
              </w:rPr>
              <w:t>5.5. Marketing y Comunicación Corporativo (incluye eventos)</w:t>
            </w:r>
            <w:r w:rsidR="007339FC">
              <w:rPr>
                <w:noProof/>
                <w:webHidden/>
              </w:rPr>
              <w:tab/>
            </w:r>
            <w:r w:rsidR="007339FC">
              <w:rPr>
                <w:noProof/>
                <w:webHidden/>
              </w:rPr>
              <w:fldChar w:fldCharType="begin"/>
            </w:r>
            <w:r w:rsidR="007339FC">
              <w:rPr>
                <w:noProof/>
                <w:webHidden/>
              </w:rPr>
              <w:instrText xml:space="preserve"> PAGEREF _Toc85297126 \h </w:instrText>
            </w:r>
            <w:r w:rsidR="007339FC">
              <w:rPr>
                <w:noProof/>
                <w:webHidden/>
              </w:rPr>
            </w:r>
            <w:r w:rsidR="007339FC">
              <w:rPr>
                <w:noProof/>
                <w:webHidden/>
              </w:rPr>
              <w:fldChar w:fldCharType="separate"/>
            </w:r>
            <w:r w:rsidR="007339FC">
              <w:rPr>
                <w:noProof/>
                <w:webHidden/>
              </w:rPr>
              <w:t>30</w:t>
            </w:r>
            <w:r w:rsidR="007339FC">
              <w:rPr>
                <w:noProof/>
                <w:webHidden/>
              </w:rPr>
              <w:fldChar w:fldCharType="end"/>
            </w:r>
          </w:hyperlink>
        </w:p>
        <w:p w14:paraId="75918AC9" w14:textId="32A092FE" w:rsidR="007339FC" w:rsidRDefault="000354B0">
          <w:pPr>
            <w:pStyle w:val="TDC2"/>
            <w:tabs>
              <w:tab w:val="right" w:leader="dot" w:pos="8494"/>
            </w:tabs>
            <w:rPr>
              <w:rFonts w:asciiTheme="minorHAnsi" w:eastAsiaTheme="minorEastAsia" w:hAnsiTheme="minorHAnsi" w:cstheme="minorBidi"/>
              <w:noProof/>
              <w:sz w:val="22"/>
              <w:szCs w:val="22"/>
              <w:lang w:eastAsia="es-ES"/>
            </w:rPr>
          </w:pPr>
          <w:hyperlink w:anchor="_Toc85297127" w:history="1">
            <w:r w:rsidR="007339FC" w:rsidRPr="00FA123C">
              <w:rPr>
                <w:rStyle w:val="Hipervnculo"/>
                <w:noProof/>
              </w:rPr>
              <w:t>5.6. Proyectos Europeos</w:t>
            </w:r>
            <w:r w:rsidR="007339FC">
              <w:rPr>
                <w:noProof/>
                <w:webHidden/>
              </w:rPr>
              <w:tab/>
            </w:r>
            <w:r w:rsidR="007339FC">
              <w:rPr>
                <w:noProof/>
                <w:webHidden/>
              </w:rPr>
              <w:fldChar w:fldCharType="begin"/>
            </w:r>
            <w:r w:rsidR="007339FC">
              <w:rPr>
                <w:noProof/>
                <w:webHidden/>
              </w:rPr>
              <w:instrText xml:space="preserve"> PAGEREF _Toc85297127 \h </w:instrText>
            </w:r>
            <w:r w:rsidR="007339FC">
              <w:rPr>
                <w:noProof/>
                <w:webHidden/>
              </w:rPr>
            </w:r>
            <w:r w:rsidR="007339FC">
              <w:rPr>
                <w:noProof/>
                <w:webHidden/>
              </w:rPr>
              <w:fldChar w:fldCharType="separate"/>
            </w:r>
            <w:r w:rsidR="007339FC">
              <w:rPr>
                <w:noProof/>
                <w:webHidden/>
              </w:rPr>
              <w:t>32</w:t>
            </w:r>
            <w:r w:rsidR="007339FC">
              <w:rPr>
                <w:noProof/>
                <w:webHidden/>
              </w:rPr>
              <w:fldChar w:fldCharType="end"/>
            </w:r>
          </w:hyperlink>
        </w:p>
        <w:p w14:paraId="6B8633CF" w14:textId="5D4313C7" w:rsidR="007339FC" w:rsidRDefault="000354B0">
          <w:pPr>
            <w:pStyle w:val="TDC2"/>
            <w:tabs>
              <w:tab w:val="right" w:leader="dot" w:pos="8494"/>
            </w:tabs>
            <w:rPr>
              <w:rFonts w:asciiTheme="minorHAnsi" w:eastAsiaTheme="minorEastAsia" w:hAnsiTheme="minorHAnsi" w:cstheme="minorBidi"/>
              <w:noProof/>
              <w:sz w:val="22"/>
              <w:szCs w:val="22"/>
              <w:lang w:eastAsia="es-ES"/>
            </w:rPr>
          </w:pPr>
          <w:hyperlink w:anchor="_Toc85297128" w:history="1">
            <w:r w:rsidR="007339FC" w:rsidRPr="00FA123C">
              <w:rPr>
                <w:rStyle w:val="Hipervnculo"/>
                <w:noProof/>
              </w:rPr>
              <w:t>5.7. Servicios Corporativos</w:t>
            </w:r>
            <w:r w:rsidR="007339FC">
              <w:rPr>
                <w:noProof/>
                <w:webHidden/>
              </w:rPr>
              <w:tab/>
            </w:r>
            <w:r w:rsidR="007339FC">
              <w:rPr>
                <w:noProof/>
                <w:webHidden/>
              </w:rPr>
              <w:fldChar w:fldCharType="begin"/>
            </w:r>
            <w:r w:rsidR="007339FC">
              <w:rPr>
                <w:noProof/>
                <w:webHidden/>
              </w:rPr>
              <w:instrText xml:space="preserve"> PAGEREF _Toc85297128 \h </w:instrText>
            </w:r>
            <w:r w:rsidR="007339FC">
              <w:rPr>
                <w:noProof/>
                <w:webHidden/>
              </w:rPr>
            </w:r>
            <w:r w:rsidR="007339FC">
              <w:rPr>
                <w:noProof/>
                <w:webHidden/>
              </w:rPr>
              <w:fldChar w:fldCharType="separate"/>
            </w:r>
            <w:r w:rsidR="007339FC">
              <w:rPr>
                <w:noProof/>
                <w:webHidden/>
              </w:rPr>
              <w:t>33</w:t>
            </w:r>
            <w:r w:rsidR="007339FC">
              <w:rPr>
                <w:noProof/>
                <w:webHidden/>
              </w:rPr>
              <w:fldChar w:fldCharType="end"/>
            </w:r>
          </w:hyperlink>
        </w:p>
        <w:p w14:paraId="0BAFCD47" w14:textId="2831A60E" w:rsidR="007339FC" w:rsidRDefault="000354B0">
          <w:pPr>
            <w:pStyle w:val="TDC1"/>
            <w:tabs>
              <w:tab w:val="left" w:pos="440"/>
              <w:tab w:val="right" w:leader="dot" w:pos="8494"/>
            </w:tabs>
            <w:rPr>
              <w:rFonts w:asciiTheme="minorHAnsi" w:eastAsiaTheme="minorEastAsia" w:hAnsiTheme="minorHAnsi" w:cstheme="minorBidi"/>
              <w:noProof/>
              <w:sz w:val="22"/>
              <w:szCs w:val="22"/>
              <w:lang w:eastAsia="es-ES"/>
            </w:rPr>
          </w:pPr>
          <w:hyperlink r:id="rId16" w:anchor="_Toc85297130" w:history="1">
            <w:r w:rsidR="007339FC" w:rsidRPr="00FA123C">
              <w:rPr>
                <w:rStyle w:val="Hipervnculo"/>
                <w:noProof/>
              </w:rPr>
              <w:t>6.</w:t>
            </w:r>
            <w:r w:rsidR="007339FC">
              <w:rPr>
                <w:rFonts w:asciiTheme="minorHAnsi" w:eastAsiaTheme="minorEastAsia" w:hAnsiTheme="minorHAnsi" w:cstheme="minorBidi"/>
                <w:noProof/>
                <w:sz w:val="22"/>
                <w:szCs w:val="22"/>
                <w:lang w:eastAsia="es-ES"/>
              </w:rPr>
              <w:tab/>
            </w:r>
            <w:r w:rsidR="007339FC" w:rsidRPr="00FA123C">
              <w:rPr>
                <w:rStyle w:val="Hipervnculo"/>
                <w:noProof/>
              </w:rPr>
              <w:t>BALANCE DE SITUACIÓN</w:t>
            </w:r>
            <w:r w:rsidR="007339FC">
              <w:rPr>
                <w:noProof/>
                <w:webHidden/>
              </w:rPr>
              <w:tab/>
            </w:r>
            <w:r w:rsidR="007339FC">
              <w:rPr>
                <w:noProof/>
                <w:webHidden/>
              </w:rPr>
              <w:fldChar w:fldCharType="begin"/>
            </w:r>
            <w:r w:rsidR="007339FC">
              <w:rPr>
                <w:noProof/>
                <w:webHidden/>
              </w:rPr>
              <w:instrText xml:space="preserve"> PAGEREF _Toc85297130 \h </w:instrText>
            </w:r>
            <w:r w:rsidR="007339FC">
              <w:rPr>
                <w:noProof/>
                <w:webHidden/>
              </w:rPr>
            </w:r>
            <w:r w:rsidR="007339FC">
              <w:rPr>
                <w:noProof/>
                <w:webHidden/>
              </w:rPr>
              <w:fldChar w:fldCharType="separate"/>
            </w:r>
            <w:r w:rsidR="007339FC">
              <w:rPr>
                <w:noProof/>
                <w:webHidden/>
              </w:rPr>
              <w:t>35</w:t>
            </w:r>
            <w:r w:rsidR="007339FC">
              <w:rPr>
                <w:noProof/>
                <w:webHidden/>
              </w:rPr>
              <w:fldChar w:fldCharType="end"/>
            </w:r>
          </w:hyperlink>
        </w:p>
        <w:p w14:paraId="7262D549" w14:textId="388CA54D" w:rsidR="007339FC" w:rsidRDefault="000354B0">
          <w:pPr>
            <w:pStyle w:val="TDC2"/>
            <w:tabs>
              <w:tab w:val="right" w:leader="dot" w:pos="8494"/>
            </w:tabs>
            <w:rPr>
              <w:rFonts w:asciiTheme="minorHAnsi" w:eastAsiaTheme="minorEastAsia" w:hAnsiTheme="minorHAnsi" w:cstheme="minorBidi"/>
              <w:noProof/>
              <w:sz w:val="22"/>
              <w:szCs w:val="22"/>
              <w:lang w:eastAsia="es-ES"/>
            </w:rPr>
          </w:pPr>
          <w:hyperlink w:anchor="_Toc85297131" w:history="1">
            <w:r w:rsidR="007339FC" w:rsidRPr="00FA123C">
              <w:rPr>
                <w:rStyle w:val="Hipervnculo"/>
                <w:noProof/>
              </w:rPr>
              <w:t>6.2. Activo no corriente</w:t>
            </w:r>
            <w:r w:rsidR="007339FC">
              <w:rPr>
                <w:noProof/>
                <w:webHidden/>
              </w:rPr>
              <w:tab/>
            </w:r>
            <w:r w:rsidR="007339FC">
              <w:rPr>
                <w:noProof/>
                <w:webHidden/>
              </w:rPr>
              <w:fldChar w:fldCharType="begin"/>
            </w:r>
            <w:r w:rsidR="007339FC">
              <w:rPr>
                <w:noProof/>
                <w:webHidden/>
              </w:rPr>
              <w:instrText xml:space="preserve"> PAGEREF _Toc85297131 \h </w:instrText>
            </w:r>
            <w:r w:rsidR="007339FC">
              <w:rPr>
                <w:noProof/>
                <w:webHidden/>
              </w:rPr>
            </w:r>
            <w:r w:rsidR="007339FC">
              <w:rPr>
                <w:noProof/>
                <w:webHidden/>
              </w:rPr>
              <w:fldChar w:fldCharType="separate"/>
            </w:r>
            <w:r w:rsidR="007339FC">
              <w:rPr>
                <w:noProof/>
                <w:webHidden/>
              </w:rPr>
              <w:t>36</w:t>
            </w:r>
            <w:r w:rsidR="007339FC">
              <w:rPr>
                <w:noProof/>
                <w:webHidden/>
              </w:rPr>
              <w:fldChar w:fldCharType="end"/>
            </w:r>
          </w:hyperlink>
        </w:p>
        <w:p w14:paraId="549D5013" w14:textId="3181A0BB" w:rsidR="007339FC" w:rsidRDefault="000354B0">
          <w:pPr>
            <w:pStyle w:val="TDC2"/>
            <w:tabs>
              <w:tab w:val="right" w:leader="dot" w:pos="8494"/>
            </w:tabs>
            <w:rPr>
              <w:rFonts w:asciiTheme="minorHAnsi" w:eastAsiaTheme="minorEastAsia" w:hAnsiTheme="minorHAnsi" w:cstheme="minorBidi"/>
              <w:noProof/>
              <w:sz w:val="22"/>
              <w:szCs w:val="22"/>
              <w:lang w:eastAsia="es-ES"/>
            </w:rPr>
          </w:pPr>
          <w:hyperlink w:anchor="_Toc85297132" w:history="1">
            <w:r w:rsidR="007339FC" w:rsidRPr="00FA123C">
              <w:rPr>
                <w:rStyle w:val="Hipervnculo"/>
                <w:noProof/>
              </w:rPr>
              <w:t>6.3. Activo corriente</w:t>
            </w:r>
            <w:r w:rsidR="007339FC">
              <w:rPr>
                <w:noProof/>
                <w:webHidden/>
              </w:rPr>
              <w:tab/>
            </w:r>
            <w:r w:rsidR="007339FC">
              <w:rPr>
                <w:noProof/>
                <w:webHidden/>
              </w:rPr>
              <w:fldChar w:fldCharType="begin"/>
            </w:r>
            <w:r w:rsidR="007339FC">
              <w:rPr>
                <w:noProof/>
                <w:webHidden/>
              </w:rPr>
              <w:instrText xml:space="preserve"> PAGEREF _Toc85297132 \h </w:instrText>
            </w:r>
            <w:r w:rsidR="007339FC">
              <w:rPr>
                <w:noProof/>
                <w:webHidden/>
              </w:rPr>
            </w:r>
            <w:r w:rsidR="007339FC">
              <w:rPr>
                <w:noProof/>
                <w:webHidden/>
              </w:rPr>
              <w:fldChar w:fldCharType="separate"/>
            </w:r>
            <w:r w:rsidR="007339FC">
              <w:rPr>
                <w:noProof/>
                <w:webHidden/>
              </w:rPr>
              <w:t>36</w:t>
            </w:r>
            <w:r w:rsidR="007339FC">
              <w:rPr>
                <w:noProof/>
                <w:webHidden/>
              </w:rPr>
              <w:fldChar w:fldCharType="end"/>
            </w:r>
          </w:hyperlink>
        </w:p>
        <w:p w14:paraId="3215BACD" w14:textId="21E65C31" w:rsidR="007339FC" w:rsidRDefault="000354B0">
          <w:pPr>
            <w:pStyle w:val="TDC2"/>
            <w:tabs>
              <w:tab w:val="right" w:leader="dot" w:pos="8494"/>
            </w:tabs>
            <w:rPr>
              <w:rFonts w:asciiTheme="minorHAnsi" w:eastAsiaTheme="minorEastAsia" w:hAnsiTheme="minorHAnsi" w:cstheme="minorBidi"/>
              <w:noProof/>
              <w:sz w:val="22"/>
              <w:szCs w:val="22"/>
              <w:lang w:eastAsia="es-ES"/>
            </w:rPr>
          </w:pPr>
          <w:hyperlink w:anchor="_Toc85297133" w:history="1">
            <w:r w:rsidR="007339FC" w:rsidRPr="00FA123C">
              <w:rPr>
                <w:rStyle w:val="Hipervnculo"/>
                <w:noProof/>
              </w:rPr>
              <w:t>6.4. Patrimonio neto</w:t>
            </w:r>
            <w:r w:rsidR="007339FC">
              <w:rPr>
                <w:noProof/>
                <w:webHidden/>
              </w:rPr>
              <w:tab/>
            </w:r>
            <w:r w:rsidR="007339FC">
              <w:rPr>
                <w:noProof/>
                <w:webHidden/>
              </w:rPr>
              <w:fldChar w:fldCharType="begin"/>
            </w:r>
            <w:r w:rsidR="007339FC">
              <w:rPr>
                <w:noProof/>
                <w:webHidden/>
              </w:rPr>
              <w:instrText xml:space="preserve"> PAGEREF _Toc85297133 \h </w:instrText>
            </w:r>
            <w:r w:rsidR="007339FC">
              <w:rPr>
                <w:noProof/>
                <w:webHidden/>
              </w:rPr>
            </w:r>
            <w:r w:rsidR="007339FC">
              <w:rPr>
                <w:noProof/>
                <w:webHidden/>
              </w:rPr>
              <w:fldChar w:fldCharType="separate"/>
            </w:r>
            <w:r w:rsidR="007339FC">
              <w:rPr>
                <w:noProof/>
                <w:webHidden/>
              </w:rPr>
              <w:t>37</w:t>
            </w:r>
            <w:r w:rsidR="007339FC">
              <w:rPr>
                <w:noProof/>
                <w:webHidden/>
              </w:rPr>
              <w:fldChar w:fldCharType="end"/>
            </w:r>
          </w:hyperlink>
        </w:p>
        <w:p w14:paraId="06AC1268" w14:textId="03914688" w:rsidR="007339FC" w:rsidRDefault="000354B0">
          <w:pPr>
            <w:pStyle w:val="TDC2"/>
            <w:tabs>
              <w:tab w:val="right" w:leader="dot" w:pos="8494"/>
            </w:tabs>
            <w:rPr>
              <w:rFonts w:asciiTheme="minorHAnsi" w:eastAsiaTheme="minorEastAsia" w:hAnsiTheme="minorHAnsi" w:cstheme="minorBidi"/>
              <w:noProof/>
              <w:sz w:val="22"/>
              <w:szCs w:val="22"/>
              <w:lang w:eastAsia="es-ES"/>
            </w:rPr>
          </w:pPr>
          <w:hyperlink w:anchor="_Toc85297134" w:history="1">
            <w:r w:rsidR="007339FC" w:rsidRPr="00FA123C">
              <w:rPr>
                <w:rStyle w:val="Hipervnculo"/>
                <w:noProof/>
              </w:rPr>
              <w:t>6.5. Pasivo corriente</w:t>
            </w:r>
            <w:r w:rsidR="007339FC">
              <w:rPr>
                <w:noProof/>
                <w:webHidden/>
              </w:rPr>
              <w:tab/>
            </w:r>
            <w:r w:rsidR="007339FC">
              <w:rPr>
                <w:noProof/>
                <w:webHidden/>
              </w:rPr>
              <w:fldChar w:fldCharType="begin"/>
            </w:r>
            <w:r w:rsidR="007339FC">
              <w:rPr>
                <w:noProof/>
                <w:webHidden/>
              </w:rPr>
              <w:instrText xml:space="preserve"> PAGEREF _Toc85297134 \h </w:instrText>
            </w:r>
            <w:r w:rsidR="007339FC">
              <w:rPr>
                <w:noProof/>
                <w:webHidden/>
              </w:rPr>
            </w:r>
            <w:r w:rsidR="007339FC">
              <w:rPr>
                <w:noProof/>
                <w:webHidden/>
              </w:rPr>
              <w:fldChar w:fldCharType="separate"/>
            </w:r>
            <w:r w:rsidR="007339FC">
              <w:rPr>
                <w:noProof/>
                <w:webHidden/>
              </w:rPr>
              <w:t>37</w:t>
            </w:r>
            <w:r w:rsidR="007339FC">
              <w:rPr>
                <w:noProof/>
                <w:webHidden/>
              </w:rPr>
              <w:fldChar w:fldCharType="end"/>
            </w:r>
          </w:hyperlink>
        </w:p>
        <w:p w14:paraId="47F3826D" w14:textId="124AE1A5" w:rsidR="00072C3A" w:rsidRPr="00EB6871" w:rsidRDefault="00072C3A" w:rsidP="00084399">
          <w:r w:rsidRPr="00EB6871">
            <w:fldChar w:fldCharType="end"/>
          </w:r>
        </w:p>
      </w:sdtContent>
    </w:sdt>
    <w:p w14:paraId="20F3764A" w14:textId="77777777" w:rsidR="00177491" w:rsidRPr="00EB6871" w:rsidRDefault="00177491" w:rsidP="00084399"/>
    <w:p w14:paraId="370DBA0B" w14:textId="0D3DD6E5" w:rsidR="00177491" w:rsidRDefault="00177491" w:rsidP="00084399"/>
    <w:p w14:paraId="1869C631" w14:textId="77777777" w:rsidR="009E2A5F" w:rsidRPr="00EB6871" w:rsidRDefault="009E2A5F" w:rsidP="00084399"/>
    <w:p w14:paraId="6558740E" w14:textId="77777777" w:rsidR="00457E84" w:rsidRDefault="00457E84" w:rsidP="00084399"/>
    <w:p w14:paraId="31D2E122" w14:textId="77777777" w:rsidR="00301132" w:rsidRDefault="00301132" w:rsidP="00E13D58">
      <w:pPr>
        <w:jc w:val="left"/>
      </w:pPr>
    </w:p>
    <w:p w14:paraId="346F222E" w14:textId="77777777" w:rsidR="0061758C" w:rsidRDefault="0061758C" w:rsidP="00E13D58">
      <w:pPr>
        <w:jc w:val="left"/>
      </w:pPr>
    </w:p>
    <w:p w14:paraId="7234698B" w14:textId="77777777" w:rsidR="0061758C" w:rsidRDefault="0061758C" w:rsidP="00E13D58">
      <w:pPr>
        <w:jc w:val="left"/>
      </w:pPr>
    </w:p>
    <w:p w14:paraId="2C679E4D" w14:textId="77777777" w:rsidR="0061758C" w:rsidRDefault="0061758C" w:rsidP="00E13D58">
      <w:pPr>
        <w:jc w:val="left"/>
      </w:pPr>
    </w:p>
    <w:p w14:paraId="4D374AB6" w14:textId="77777777" w:rsidR="0061758C" w:rsidRDefault="0061758C" w:rsidP="00E13D58">
      <w:pPr>
        <w:jc w:val="left"/>
      </w:pPr>
    </w:p>
    <w:p w14:paraId="03BE584A" w14:textId="6C4A36D3" w:rsidR="00851B55" w:rsidRPr="00851B55" w:rsidRDefault="0063304E" w:rsidP="00FA1E85">
      <w:pPr>
        <w:jc w:val="left"/>
      </w:pPr>
      <w:r w:rsidRPr="00F1717C">
        <w:rPr>
          <w:noProof/>
        </w:rPr>
        <mc:AlternateContent>
          <mc:Choice Requires="wps">
            <w:drawing>
              <wp:anchor distT="0" distB="0" distL="114300" distR="114300" simplePos="0" relativeHeight="251658242" behindDoc="0" locked="1" layoutInCell="1" allowOverlap="1" wp14:anchorId="50678548" wp14:editId="51A49B75">
                <wp:simplePos x="0" y="0"/>
                <wp:positionH relativeFrom="margin">
                  <wp:align>left</wp:align>
                </wp:positionH>
                <wp:positionV relativeFrom="margin">
                  <wp:align>top</wp:align>
                </wp:positionV>
                <wp:extent cx="1616075" cy="307975"/>
                <wp:effectExtent l="0" t="0" r="3175" b="0"/>
                <wp:wrapTopAndBottom/>
                <wp:docPr id="5" name="Cuadro de texto 5"/>
                <wp:cNvGraphicFramePr/>
                <a:graphic xmlns:a="http://schemas.openxmlformats.org/drawingml/2006/main">
                  <a:graphicData uri="http://schemas.microsoft.com/office/word/2010/wordprocessingShape">
                    <wps:wsp>
                      <wps:cNvSpPr txBox="1"/>
                      <wps:spPr>
                        <a:xfrm>
                          <a:off x="0" y="0"/>
                          <a:ext cx="1616149" cy="308345"/>
                        </a:xfrm>
                        <a:prstGeom prst="rect">
                          <a:avLst/>
                        </a:prstGeom>
                        <a:solidFill>
                          <a:srgbClr val="C00000"/>
                        </a:solidFill>
                        <a:ln w="6350">
                          <a:noFill/>
                        </a:ln>
                      </wps:spPr>
                      <wps:txbx>
                        <w:txbxContent>
                          <w:p w14:paraId="2D0F49D4" w14:textId="374A406F" w:rsidR="0065362D" w:rsidRPr="00321587" w:rsidRDefault="0065362D" w:rsidP="00321587">
                            <w:pPr>
                              <w:pStyle w:val="Ttulo1"/>
                              <w:rPr>
                                <w:rStyle w:val="nfasissutil"/>
                                <w:sz w:val="22"/>
                              </w:rPr>
                            </w:pPr>
                            <w:bookmarkStart w:id="4" w:name="_Toc85297113"/>
                            <w:r w:rsidRPr="00321587">
                              <w:rPr>
                                <w:rStyle w:val="nfasissutil"/>
                                <w:sz w:val="22"/>
                              </w:rPr>
                              <w:t>INTRODUCCIÓN</w:t>
                            </w:r>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78548" id="Cuadro de texto 5" o:spid="_x0000_s1027" type="#_x0000_t202" style="position:absolute;margin-left:0;margin-top:0;width:127.25pt;height:24.25pt;z-index:25165824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" fillcolor="#c00000" stroked="f" strokeweight=".5pt">
                <v:textbox>
                  <w:txbxContent>
                    <w:p w14:paraId="2D0F49D4" w14:textId="374A406F" w:rsidR="0065362D" w:rsidRPr="00321587" w:rsidRDefault="0065362D" w:rsidP="00321587">
                      <w:pPr>
                        <w:pStyle w:val="Ttulo1"/>
                        <w:rPr>
                          <w:rStyle w:val="nfasissutil"/>
                          <w:sz w:val="22"/>
                        </w:rPr>
                      </w:pPr>
                      <w:bookmarkStart w:id="7" w:name="_Toc85297113"/>
                      <w:r w:rsidRPr="00321587">
                        <w:rPr>
                          <w:rStyle w:val="nfasissutil"/>
                          <w:sz w:val="22"/>
                        </w:rPr>
                        <w:t>INTRODUCCIÓN</w:t>
                      </w:r>
                      <w:bookmarkEnd w:id="7"/>
                    </w:p>
                  </w:txbxContent>
                </v:textbox>
                <w10:wrap type="topAndBottom" anchorx="margin" anchory="margin"/>
                <w10:anchorlock/>
              </v:shape>
            </w:pict>
          </mc:Fallback>
        </mc:AlternateContent>
      </w:r>
      <w:r w:rsidR="00851B55" w:rsidRPr="00851B55">
        <w:t xml:space="preserve">El presupuesto para el </w:t>
      </w:r>
      <w:r w:rsidR="003133A1">
        <w:t xml:space="preserve">próximo </w:t>
      </w:r>
      <w:r w:rsidR="00851B55" w:rsidRPr="00851B55">
        <w:t>ejercicio se presenta como una proyección del Balance de Situación y de la Cuenta de Resultados previstos para el año 202</w:t>
      </w:r>
      <w:r w:rsidR="003A3CA6">
        <w:t>2</w:t>
      </w:r>
      <w:r w:rsidR="00851B55" w:rsidRPr="00851B55">
        <w:t>. Este documento se complementa con una proyección de flujos de tesorería como resultado de todo lo anterior.</w:t>
      </w:r>
    </w:p>
    <w:p w14:paraId="384DCB80" w14:textId="70900316" w:rsidR="00851B55" w:rsidRPr="00851B55" w:rsidRDefault="00851B55" w:rsidP="00FA1E85">
      <w:pPr>
        <w:jc w:val="left"/>
      </w:pPr>
      <w:r w:rsidRPr="00851B55">
        <w:t>La proyección de la Cuenta de Explotación presupuesta los ingresos y gastos para el ejercicio 202</w:t>
      </w:r>
      <w:r w:rsidR="0072264E">
        <w:t>2</w:t>
      </w:r>
      <w:r w:rsidRPr="00851B55">
        <w:t>, comparándolos con la previsión de cierre de 202</w:t>
      </w:r>
      <w:r w:rsidR="0072264E">
        <w:t>1</w:t>
      </w:r>
      <w:r w:rsidRPr="00851B55">
        <w:t>. Dicha proyección se estructura siguiendo el Plan General Contable, a nivel 3 dígitos, y se analiza por centro de coste o unidad de negocio que origina el ingreso o el gasto.</w:t>
      </w:r>
    </w:p>
    <w:p w14:paraId="1B84C552" w14:textId="3E2B321C" w:rsidR="00851B55" w:rsidRPr="00851B55" w:rsidRDefault="00C10190" w:rsidP="00FA1E85">
      <w:pPr>
        <w:jc w:val="left"/>
      </w:pPr>
      <w:r>
        <w:t>Mobile World Capital Barcelona</w:t>
      </w:r>
      <w:r w:rsidR="00851B55" w:rsidRPr="00851B55">
        <w:t xml:space="preserve"> marca sus objetivos anualmente en el plan estratégico, trasladando dichos objetivos al presupuesto y contando con la base de estimación del cierre del ejercicio anterior y antes de la aprobación de las cuentas anuales definitivas.</w:t>
      </w:r>
    </w:p>
    <w:p w14:paraId="4F9289C5" w14:textId="70DCA4FC" w:rsidR="00851B55" w:rsidRDefault="00851B55" w:rsidP="00FA1E85">
      <w:pPr>
        <w:jc w:val="left"/>
        <w:rPr>
          <w:rFonts w:ascii="Arial" w:hAnsi="Arial"/>
          <w:sz w:val="21"/>
          <w:szCs w:val="21"/>
        </w:rPr>
      </w:pPr>
      <w:r w:rsidRPr="00851B55">
        <w:t>A continuación, se presenta la propuesta de presupuesto para el ejercicio 202</w:t>
      </w:r>
      <w:r w:rsidR="0072264E">
        <w:t>2</w:t>
      </w:r>
      <w:r w:rsidRPr="00851B55">
        <w:t xml:space="preserve"> y su aprobación por el Patronato en la sesión del 1</w:t>
      </w:r>
      <w:r w:rsidR="00410866">
        <w:t>8</w:t>
      </w:r>
      <w:r w:rsidRPr="00851B55">
        <w:t xml:space="preserve"> de diciembre de 202</w:t>
      </w:r>
      <w:r w:rsidR="00410866">
        <w:t>1</w:t>
      </w:r>
      <w:r w:rsidRPr="00177491">
        <w:rPr>
          <w:rFonts w:ascii="Arial" w:hAnsi="Arial"/>
          <w:sz w:val="21"/>
          <w:szCs w:val="21"/>
        </w:rPr>
        <w:t>.</w:t>
      </w:r>
    </w:p>
    <w:p w14:paraId="3F10D4BE" w14:textId="77777777" w:rsidR="00851B55" w:rsidRPr="00EB6871" w:rsidRDefault="00851B55" w:rsidP="00E13D58">
      <w:pPr>
        <w:jc w:val="left"/>
      </w:pPr>
    </w:p>
    <w:p w14:paraId="0BA5F8E1" w14:textId="7DD8B1A6" w:rsidR="00177491" w:rsidRPr="00EB6871" w:rsidRDefault="00FD1DCD" w:rsidP="00E13D58">
      <w:pPr>
        <w:jc w:val="left"/>
      </w:pPr>
      <w:r w:rsidRPr="00EB6871">
        <w:br w:type="page"/>
      </w:r>
    </w:p>
    <w:p w14:paraId="601AE808" w14:textId="77777777" w:rsidR="00457E84" w:rsidRDefault="00457E84" w:rsidP="00E13D58">
      <w:pPr>
        <w:jc w:val="left"/>
      </w:pPr>
      <w:bookmarkStart w:id="5" w:name="_Toc55902052"/>
    </w:p>
    <w:p w14:paraId="7DCBB603" w14:textId="77777777" w:rsidR="00822903" w:rsidRDefault="00822903" w:rsidP="001E7BDE"/>
    <w:p w14:paraId="14B3CB5D" w14:textId="2C7ACB08" w:rsidR="003133A1" w:rsidRPr="003133A1" w:rsidRDefault="00321587" w:rsidP="00FA1E85">
      <w:pPr>
        <w:jc w:val="left"/>
      </w:pPr>
      <w:r w:rsidRPr="00F1717C">
        <w:rPr>
          <w:noProof/>
        </w:rPr>
        <mc:AlternateContent>
          <mc:Choice Requires="wps">
            <w:drawing>
              <wp:anchor distT="0" distB="0" distL="114300" distR="114300" simplePos="0" relativeHeight="251658243" behindDoc="0" locked="1" layoutInCell="1" allowOverlap="1" wp14:anchorId="410EEA8D" wp14:editId="4FF360E1">
                <wp:simplePos x="0" y="0"/>
                <wp:positionH relativeFrom="margin">
                  <wp:align>left</wp:align>
                </wp:positionH>
                <wp:positionV relativeFrom="margin">
                  <wp:align>top</wp:align>
                </wp:positionV>
                <wp:extent cx="2604770" cy="350520"/>
                <wp:effectExtent l="0" t="0" r="5080" b="0"/>
                <wp:wrapTopAndBottom/>
                <wp:docPr id="6" name="Cuadro de texto 6"/>
                <wp:cNvGraphicFramePr/>
                <a:graphic xmlns:a="http://schemas.openxmlformats.org/drawingml/2006/main">
                  <a:graphicData uri="http://schemas.microsoft.com/office/word/2010/wordprocessingShape">
                    <wps:wsp>
                      <wps:cNvSpPr txBox="1"/>
                      <wps:spPr>
                        <a:xfrm>
                          <a:off x="0" y="0"/>
                          <a:ext cx="2604977" cy="350875"/>
                        </a:xfrm>
                        <a:prstGeom prst="rect">
                          <a:avLst/>
                        </a:prstGeom>
                        <a:solidFill>
                          <a:srgbClr val="C00000"/>
                        </a:solidFill>
                        <a:ln w="6350">
                          <a:noFill/>
                        </a:ln>
                      </wps:spPr>
                      <wps:txbx>
                        <w:txbxContent>
                          <w:p w14:paraId="3F8C8C5B" w14:textId="0F3A17FE" w:rsidR="0065362D" w:rsidRDefault="0065362D" w:rsidP="00321587">
                            <w:pPr>
                              <w:pStyle w:val="Ttulo1"/>
                            </w:pPr>
                            <w:r>
                              <w:t xml:space="preserve"> </w:t>
                            </w:r>
                            <w:bookmarkStart w:id="6" w:name="_Toc85297114"/>
                            <w:r w:rsidRPr="00EB6871">
                              <w:t>CONSIDERACIONES PREVIAS</w:t>
                            </w:r>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EEA8D" id="Cuadro de texto 6" o:spid="_x0000_s1028" type="#_x0000_t202" style="position:absolute;margin-left:0;margin-top:0;width:205.1pt;height:27.6pt;z-index:251658243;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" fillcolor="#c00000" stroked="f" strokeweight=".5pt">
                <v:textbox>
                  <w:txbxContent>
                    <w:p w14:paraId="3F8C8C5B" w14:textId="0F3A17FE" w:rsidR="0065362D" w:rsidRDefault="0065362D" w:rsidP="00321587">
                      <w:pPr>
                        <w:pStyle w:val="Ttulo1"/>
                      </w:pPr>
                      <w:r>
                        <w:t xml:space="preserve"> </w:t>
                      </w:r>
                      <w:bookmarkStart w:id="10" w:name="_Toc85297114"/>
                      <w:r w:rsidRPr="00EB6871">
                        <w:t>CONSIDERACIONES PREVIAS</w:t>
                      </w:r>
                      <w:bookmarkEnd w:id="10"/>
                    </w:p>
                  </w:txbxContent>
                </v:textbox>
                <w10:wrap type="topAndBottom" anchorx="margin" anchory="margin"/>
                <w10:anchorlock/>
              </v:shape>
            </w:pict>
          </mc:Fallback>
        </mc:AlternateContent>
      </w:r>
      <w:bookmarkEnd w:id="5"/>
      <w:r w:rsidR="003133A1" w:rsidRPr="003133A1">
        <w:t>La Fundació Barcelona Mobile World Capital Foundation (en lo sucesivo, “</w:t>
      </w:r>
      <w:r w:rsidR="00C10190">
        <w:t>MWCapital</w:t>
      </w:r>
      <w:r w:rsidR="003133A1" w:rsidRPr="003133A1">
        <w:t>”), desde su constitución en el año 2012, impulsa el desarrollo digital de la sociedad para mejorar la vida de las personas a nivel global.</w:t>
      </w:r>
    </w:p>
    <w:p w14:paraId="508D621C" w14:textId="77777777" w:rsidR="003133A1" w:rsidRPr="003133A1" w:rsidRDefault="003133A1" w:rsidP="00FA1E85">
      <w:pPr>
        <w:jc w:val="left"/>
      </w:pPr>
      <w:r w:rsidRPr="003133A1">
        <w:t xml:space="preserve">MWCapital centra su actividad en cuatro áreas: la aceleración de la innovación a través del emprendimiento digital; la transformación de la industria mediante la tecnología digital; el crecimiento del talento digital entre las nuevas generaciones y los profesionales y también la reflexión sobre el impacto de la tecnología en nuestra sociedad. </w:t>
      </w:r>
    </w:p>
    <w:p w14:paraId="5AF9B645" w14:textId="608A58C7" w:rsidR="003133A1" w:rsidRPr="003133A1" w:rsidRDefault="00C10190" w:rsidP="00FA1E85">
      <w:pPr>
        <w:jc w:val="left"/>
      </w:pPr>
      <w:r>
        <w:t xml:space="preserve">Se trata de </w:t>
      </w:r>
      <w:r w:rsidR="003133A1" w:rsidRPr="003133A1">
        <w:t>una fundación promovida por la Administración General del Estado (Ministerio de Asuntos Económicos y Transformación Digital), la Generalitat de Catalunya, el Ayuntamiento de Barcelona, Fira de Barcelona y GSMA. También cuenta con el apoyo de empresas privadas que contribuyen al desarrollo del ecosistema digital de Barcelona. En 202</w:t>
      </w:r>
      <w:r w:rsidR="00410866">
        <w:t>1</w:t>
      </w:r>
      <w:r w:rsidR="003133A1" w:rsidRPr="003133A1">
        <w:t xml:space="preserve">, las empresas que han formado parte </w:t>
      </w:r>
      <w:r w:rsidR="003133A1" w:rsidRPr="00C4720C">
        <w:t>del Patronato de MWCapital son Telefónica, Vodafone, Orange, Damm y CaixaBank.</w:t>
      </w:r>
    </w:p>
    <w:p w14:paraId="38D256B3" w14:textId="0F7F866A" w:rsidR="003133A1" w:rsidRDefault="003133A1" w:rsidP="00FA1E85">
      <w:pPr>
        <w:jc w:val="left"/>
      </w:pPr>
      <w:r w:rsidRPr="003133A1">
        <w:t xml:space="preserve">Para conseguir </w:t>
      </w:r>
      <w:r w:rsidR="00C10190">
        <w:t>su misión</w:t>
      </w:r>
      <w:r w:rsidRPr="003133A1">
        <w:t xml:space="preserve">, </w:t>
      </w:r>
      <w:r w:rsidR="00C10190">
        <w:t>MWCapital</w:t>
      </w:r>
      <w:r w:rsidRPr="003133A1">
        <w:t xml:space="preserve"> obtendrá unos ingresos acumulados de </w:t>
      </w:r>
      <w:r w:rsidR="00451B98">
        <w:t xml:space="preserve">casi </w:t>
      </w:r>
      <w:r w:rsidR="00CE17EB">
        <w:t>200</w:t>
      </w:r>
      <w:r w:rsidRPr="003133A1">
        <w:t xml:space="preserve"> millones de euros (a previsión de cierre del ejercicio 202</w:t>
      </w:r>
      <w:r w:rsidR="00CE17EB">
        <w:t>2</w:t>
      </w:r>
      <w:r w:rsidRPr="003133A1">
        <w:t>) que financiarán gastos por valor de 1</w:t>
      </w:r>
      <w:r w:rsidR="00CE17EB">
        <w:t>96</w:t>
      </w:r>
      <w:r w:rsidRPr="003133A1">
        <w:t xml:space="preserve"> millones de euros e inversiones por importe de 3’2</w:t>
      </w:r>
      <w:r w:rsidR="00CE17EB">
        <w:t>5</w:t>
      </w:r>
      <w:r w:rsidRPr="003133A1">
        <w:t xml:space="preserve"> millones de euros. Esto ha generado, a lo largo de los últimos </w:t>
      </w:r>
      <w:r w:rsidR="00094DE5">
        <w:t>9</w:t>
      </w:r>
      <w:r w:rsidRPr="003133A1">
        <w:t xml:space="preserve"> años, un excedente presupuestario que, al término del ejercicio 202</w:t>
      </w:r>
      <w:r w:rsidR="00094DE5">
        <w:t>2</w:t>
      </w:r>
      <w:r w:rsidRPr="003133A1">
        <w:t>, previsiblemente ascenderá a 4,2</w:t>
      </w:r>
      <w:r w:rsidR="00094DE5">
        <w:t>8</w:t>
      </w:r>
      <w:r w:rsidRPr="003133A1">
        <w:t xml:space="preserve"> millones de euros.</w:t>
      </w:r>
      <w:r w:rsidR="00E86CA7">
        <w:t xml:space="preserve"> </w:t>
      </w:r>
      <w:r w:rsidR="00B07D21">
        <w:t>S</w:t>
      </w:r>
      <w:r w:rsidRPr="003133A1">
        <w:t xml:space="preserve">e calcula </w:t>
      </w:r>
      <w:r w:rsidR="00B07D21">
        <w:t xml:space="preserve">un aumento del </w:t>
      </w:r>
      <w:r w:rsidR="002F480B" w:rsidRPr="003133A1">
        <w:t xml:space="preserve">excedente </w:t>
      </w:r>
      <w:r w:rsidR="00A84C27">
        <w:t xml:space="preserve">presupuestario </w:t>
      </w:r>
      <w:r w:rsidR="002F480B" w:rsidRPr="003133A1">
        <w:t xml:space="preserve">en </w:t>
      </w:r>
      <w:r w:rsidR="0036318E">
        <w:t>18,8</w:t>
      </w:r>
      <w:r w:rsidR="002F480B" w:rsidRPr="003133A1">
        <w:t xml:space="preserve"> k€,</w:t>
      </w:r>
      <w:r w:rsidR="00B07D21">
        <w:t xml:space="preserve"> </w:t>
      </w:r>
      <w:r w:rsidR="00B07D21" w:rsidRPr="003133A1">
        <w:t>para el cierre del ejercicio 2021</w:t>
      </w:r>
      <w:r w:rsidR="0036318E">
        <w:t xml:space="preserve"> y de 2,1 k€ a previsión </w:t>
      </w:r>
      <w:r w:rsidR="003E033D">
        <w:t>cierre 2022</w:t>
      </w:r>
      <w:r w:rsidR="002F480B">
        <w:t>,</w:t>
      </w:r>
      <w:r w:rsidRPr="003133A1">
        <w:t xml:space="preserve"> tal y como se aprecia en el cuadro adjunto. Por ello, </w:t>
      </w:r>
      <w:r w:rsidR="002F480B">
        <w:t>MWCapital</w:t>
      </w:r>
      <w:r w:rsidRPr="003133A1">
        <w:t xml:space="preserve"> podría hacer frente a posibles pérdidas de ejercicios futuros que impliquen obligaciones de pago hasta el importe de excedente presupuestario acumulado en ese momento.</w:t>
      </w:r>
    </w:p>
    <w:p w14:paraId="55D78604" w14:textId="77777777" w:rsidR="003133A1" w:rsidRPr="003133A1" w:rsidRDefault="003133A1" w:rsidP="003133A1"/>
    <w:tbl>
      <w:tblPr>
        <w:tblW w:w="9356" w:type="dxa"/>
        <w:tblCellMar>
          <w:left w:w="70" w:type="dxa"/>
          <w:right w:w="70" w:type="dxa"/>
        </w:tblCellMar>
        <w:tblLook w:val="04A0" w:firstRow="1" w:lastRow="0" w:firstColumn="1" w:lastColumn="0" w:noHBand="0" w:noVBand="1"/>
      </w:tblPr>
      <w:tblGrid>
        <w:gridCol w:w="996"/>
        <w:gridCol w:w="622"/>
        <w:gridCol w:w="578"/>
        <w:gridCol w:w="598"/>
        <w:gridCol w:w="127"/>
        <w:gridCol w:w="586"/>
        <w:gridCol w:w="708"/>
        <w:gridCol w:w="684"/>
        <w:gridCol w:w="675"/>
        <w:gridCol w:w="675"/>
        <w:gridCol w:w="675"/>
        <w:gridCol w:w="674"/>
        <w:gridCol w:w="631"/>
        <w:gridCol w:w="1127"/>
      </w:tblGrid>
      <w:tr w:rsidR="00CF794E" w:rsidRPr="00E2382F" w14:paraId="010D31E6" w14:textId="77777777" w:rsidTr="00E066D7">
        <w:trPr>
          <w:trHeight w:val="311"/>
        </w:trPr>
        <w:tc>
          <w:tcPr>
            <w:tcW w:w="996" w:type="dxa"/>
            <w:tcBorders>
              <w:top w:val="nil"/>
              <w:left w:val="nil"/>
              <w:bottom w:val="nil"/>
              <w:right w:val="nil"/>
            </w:tcBorders>
            <w:shd w:val="clear" w:color="auto" w:fill="auto"/>
            <w:vAlign w:val="center"/>
            <w:hideMark/>
          </w:tcPr>
          <w:p w14:paraId="2DC70E84" w14:textId="5B25E1A9" w:rsidR="00653A2F" w:rsidRPr="00E2382F" w:rsidRDefault="00653A2F" w:rsidP="00084399">
            <w:pPr>
              <w:rPr>
                <w:sz w:val="16"/>
                <w:szCs w:val="16"/>
                <w:lang w:eastAsia="es-ES"/>
              </w:rPr>
            </w:pPr>
          </w:p>
        </w:tc>
        <w:tc>
          <w:tcPr>
            <w:tcW w:w="622" w:type="dxa"/>
            <w:tcBorders>
              <w:top w:val="nil"/>
              <w:left w:val="nil"/>
              <w:bottom w:val="single" w:sz="4" w:space="0" w:color="auto"/>
              <w:right w:val="nil"/>
            </w:tcBorders>
            <w:shd w:val="clear" w:color="auto" w:fill="C00000"/>
            <w:noWrap/>
            <w:vAlign w:val="center"/>
            <w:hideMark/>
          </w:tcPr>
          <w:p w14:paraId="4884B22C" w14:textId="77777777" w:rsidR="00653A2F" w:rsidRPr="00E2382F" w:rsidRDefault="00653A2F" w:rsidP="00084399">
            <w:pPr>
              <w:rPr>
                <w:rStyle w:val="nfasissutil"/>
                <w:sz w:val="16"/>
                <w:szCs w:val="16"/>
              </w:rPr>
            </w:pPr>
            <w:r w:rsidRPr="00E2382F">
              <w:rPr>
                <w:rStyle w:val="nfasissutil"/>
                <w:sz w:val="16"/>
                <w:szCs w:val="16"/>
              </w:rPr>
              <w:t>2012</w:t>
            </w:r>
          </w:p>
        </w:tc>
        <w:tc>
          <w:tcPr>
            <w:tcW w:w="578" w:type="dxa"/>
            <w:tcBorders>
              <w:top w:val="nil"/>
              <w:left w:val="nil"/>
              <w:bottom w:val="single" w:sz="4" w:space="0" w:color="auto"/>
              <w:right w:val="nil"/>
            </w:tcBorders>
            <w:shd w:val="clear" w:color="auto" w:fill="C00000"/>
            <w:noWrap/>
            <w:vAlign w:val="center"/>
            <w:hideMark/>
          </w:tcPr>
          <w:p w14:paraId="25B4221F" w14:textId="77777777" w:rsidR="00653A2F" w:rsidRPr="00E2382F" w:rsidRDefault="00653A2F" w:rsidP="00084399">
            <w:pPr>
              <w:rPr>
                <w:rStyle w:val="nfasissutil"/>
                <w:sz w:val="16"/>
                <w:szCs w:val="16"/>
              </w:rPr>
            </w:pPr>
            <w:r w:rsidRPr="00E2382F">
              <w:rPr>
                <w:rStyle w:val="nfasissutil"/>
                <w:sz w:val="16"/>
                <w:szCs w:val="16"/>
              </w:rPr>
              <w:t>2013</w:t>
            </w:r>
          </w:p>
        </w:tc>
        <w:tc>
          <w:tcPr>
            <w:tcW w:w="725" w:type="dxa"/>
            <w:gridSpan w:val="2"/>
            <w:tcBorders>
              <w:top w:val="nil"/>
              <w:left w:val="nil"/>
              <w:bottom w:val="single" w:sz="4" w:space="0" w:color="auto"/>
              <w:right w:val="nil"/>
            </w:tcBorders>
            <w:shd w:val="clear" w:color="auto" w:fill="C00000"/>
            <w:noWrap/>
            <w:vAlign w:val="center"/>
            <w:hideMark/>
          </w:tcPr>
          <w:p w14:paraId="0A8DB477" w14:textId="77777777" w:rsidR="00653A2F" w:rsidRPr="00E2382F" w:rsidRDefault="00653A2F" w:rsidP="00084399">
            <w:pPr>
              <w:rPr>
                <w:rStyle w:val="nfasissutil"/>
                <w:sz w:val="16"/>
                <w:szCs w:val="16"/>
              </w:rPr>
            </w:pPr>
            <w:r w:rsidRPr="00E2382F">
              <w:rPr>
                <w:rStyle w:val="nfasissutil"/>
                <w:sz w:val="16"/>
                <w:szCs w:val="16"/>
              </w:rPr>
              <w:t>2014</w:t>
            </w:r>
          </w:p>
        </w:tc>
        <w:tc>
          <w:tcPr>
            <w:tcW w:w="586" w:type="dxa"/>
            <w:tcBorders>
              <w:top w:val="nil"/>
              <w:left w:val="nil"/>
              <w:bottom w:val="single" w:sz="4" w:space="0" w:color="auto"/>
              <w:right w:val="nil"/>
            </w:tcBorders>
            <w:shd w:val="clear" w:color="auto" w:fill="C00000"/>
            <w:noWrap/>
            <w:vAlign w:val="center"/>
            <w:hideMark/>
          </w:tcPr>
          <w:p w14:paraId="7950EB5B" w14:textId="77777777" w:rsidR="00653A2F" w:rsidRPr="00E2382F" w:rsidRDefault="00653A2F" w:rsidP="00084399">
            <w:pPr>
              <w:rPr>
                <w:rStyle w:val="nfasissutil"/>
                <w:sz w:val="16"/>
                <w:szCs w:val="16"/>
              </w:rPr>
            </w:pPr>
            <w:r w:rsidRPr="00E2382F">
              <w:rPr>
                <w:rStyle w:val="nfasissutil"/>
                <w:sz w:val="16"/>
                <w:szCs w:val="16"/>
              </w:rPr>
              <w:t>2015</w:t>
            </w:r>
          </w:p>
        </w:tc>
        <w:tc>
          <w:tcPr>
            <w:tcW w:w="708" w:type="dxa"/>
            <w:tcBorders>
              <w:top w:val="nil"/>
              <w:left w:val="nil"/>
              <w:bottom w:val="single" w:sz="4" w:space="0" w:color="auto"/>
              <w:right w:val="nil"/>
            </w:tcBorders>
            <w:shd w:val="clear" w:color="auto" w:fill="C00000"/>
            <w:noWrap/>
            <w:vAlign w:val="center"/>
            <w:hideMark/>
          </w:tcPr>
          <w:p w14:paraId="3061EFC1" w14:textId="77777777" w:rsidR="00653A2F" w:rsidRPr="00E2382F" w:rsidRDefault="00653A2F" w:rsidP="00084399">
            <w:pPr>
              <w:rPr>
                <w:rStyle w:val="nfasissutil"/>
                <w:sz w:val="16"/>
                <w:szCs w:val="16"/>
              </w:rPr>
            </w:pPr>
            <w:r w:rsidRPr="00E2382F">
              <w:rPr>
                <w:rStyle w:val="nfasissutil"/>
                <w:sz w:val="16"/>
                <w:szCs w:val="16"/>
              </w:rPr>
              <w:t>2016</w:t>
            </w:r>
          </w:p>
        </w:tc>
        <w:tc>
          <w:tcPr>
            <w:tcW w:w="684" w:type="dxa"/>
            <w:tcBorders>
              <w:top w:val="nil"/>
              <w:left w:val="nil"/>
              <w:bottom w:val="single" w:sz="4" w:space="0" w:color="auto"/>
              <w:right w:val="nil"/>
            </w:tcBorders>
            <w:shd w:val="clear" w:color="auto" w:fill="C00000"/>
            <w:noWrap/>
            <w:vAlign w:val="center"/>
            <w:hideMark/>
          </w:tcPr>
          <w:p w14:paraId="383795F5" w14:textId="77777777" w:rsidR="00653A2F" w:rsidRPr="00E2382F" w:rsidRDefault="00653A2F" w:rsidP="00084399">
            <w:pPr>
              <w:rPr>
                <w:rStyle w:val="nfasissutil"/>
                <w:sz w:val="16"/>
                <w:szCs w:val="16"/>
              </w:rPr>
            </w:pPr>
            <w:r w:rsidRPr="00E2382F">
              <w:rPr>
                <w:rStyle w:val="nfasissutil"/>
                <w:sz w:val="16"/>
                <w:szCs w:val="16"/>
              </w:rPr>
              <w:t>2017</w:t>
            </w:r>
          </w:p>
        </w:tc>
        <w:tc>
          <w:tcPr>
            <w:tcW w:w="675" w:type="dxa"/>
            <w:tcBorders>
              <w:top w:val="nil"/>
              <w:left w:val="nil"/>
              <w:bottom w:val="single" w:sz="4" w:space="0" w:color="auto"/>
              <w:right w:val="nil"/>
            </w:tcBorders>
            <w:shd w:val="clear" w:color="auto" w:fill="C00000"/>
            <w:noWrap/>
            <w:vAlign w:val="center"/>
            <w:hideMark/>
          </w:tcPr>
          <w:p w14:paraId="47809F7C" w14:textId="77777777" w:rsidR="00653A2F" w:rsidRPr="00E2382F" w:rsidRDefault="00653A2F" w:rsidP="00084399">
            <w:pPr>
              <w:rPr>
                <w:rStyle w:val="nfasissutil"/>
                <w:sz w:val="16"/>
                <w:szCs w:val="16"/>
              </w:rPr>
            </w:pPr>
            <w:r w:rsidRPr="00E2382F">
              <w:rPr>
                <w:rStyle w:val="nfasissutil"/>
                <w:sz w:val="16"/>
                <w:szCs w:val="16"/>
              </w:rPr>
              <w:t>2018</w:t>
            </w:r>
          </w:p>
        </w:tc>
        <w:tc>
          <w:tcPr>
            <w:tcW w:w="675" w:type="dxa"/>
            <w:tcBorders>
              <w:top w:val="nil"/>
              <w:left w:val="nil"/>
              <w:bottom w:val="single" w:sz="4" w:space="0" w:color="auto"/>
              <w:right w:val="nil"/>
            </w:tcBorders>
            <w:shd w:val="clear" w:color="auto" w:fill="C00000"/>
            <w:noWrap/>
            <w:vAlign w:val="center"/>
            <w:hideMark/>
          </w:tcPr>
          <w:p w14:paraId="2C733CD4" w14:textId="77777777" w:rsidR="00653A2F" w:rsidRPr="00E2382F" w:rsidRDefault="00653A2F" w:rsidP="00084399">
            <w:pPr>
              <w:rPr>
                <w:rStyle w:val="nfasissutil"/>
                <w:sz w:val="16"/>
                <w:szCs w:val="16"/>
              </w:rPr>
            </w:pPr>
            <w:r w:rsidRPr="00E2382F">
              <w:rPr>
                <w:rStyle w:val="nfasissutil"/>
                <w:sz w:val="16"/>
                <w:szCs w:val="16"/>
              </w:rPr>
              <w:t>2019</w:t>
            </w:r>
          </w:p>
        </w:tc>
        <w:tc>
          <w:tcPr>
            <w:tcW w:w="675" w:type="dxa"/>
            <w:tcBorders>
              <w:top w:val="nil"/>
              <w:left w:val="nil"/>
              <w:bottom w:val="single" w:sz="4" w:space="0" w:color="auto"/>
              <w:right w:val="nil"/>
            </w:tcBorders>
            <w:shd w:val="clear" w:color="auto" w:fill="C00000"/>
            <w:noWrap/>
            <w:vAlign w:val="center"/>
            <w:hideMark/>
          </w:tcPr>
          <w:p w14:paraId="5BF15041" w14:textId="77777777" w:rsidR="00653A2F" w:rsidRPr="00E2382F" w:rsidRDefault="00653A2F" w:rsidP="00084399">
            <w:pPr>
              <w:rPr>
                <w:rStyle w:val="nfasissutil"/>
                <w:sz w:val="16"/>
                <w:szCs w:val="16"/>
              </w:rPr>
            </w:pPr>
            <w:r w:rsidRPr="00E2382F">
              <w:rPr>
                <w:rStyle w:val="nfasissutil"/>
                <w:sz w:val="16"/>
                <w:szCs w:val="16"/>
              </w:rPr>
              <w:t>2020</w:t>
            </w:r>
          </w:p>
        </w:tc>
        <w:tc>
          <w:tcPr>
            <w:tcW w:w="674" w:type="dxa"/>
            <w:tcBorders>
              <w:top w:val="nil"/>
              <w:left w:val="nil"/>
              <w:bottom w:val="single" w:sz="4" w:space="0" w:color="auto"/>
              <w:right w:val="nil"/>
            </w:tcBorders>
            <w:shd w:val="clear" w:color="auto" w:fill="C00000"/>
            <w:noWrap/>
            <w:vAlign w:val="center"/>
            <w:hideMark/>
          </w:tcPr>
          <w:p w14:paraId="53A0B324" w14:textId="77777777" w:rsidR="00653A2F" w:rsidRPr="00E2382F" w:rsidRDefault="00653A2F" w:rsidP="00084399">
            <w:pPr>
              <w:rPr>
                <w:rStyle w:val="nfasissutil"/>
                <w:sz w:val="16"/>
                <w:szCs w:val="16"/>
              </w:rPr>
            </w:pPr>
            <w:r w:rsidRPr="00E2382F">
              <w:rPr>
                <w:rStyle w:val="nfasissutil"/>
                <w:sz w:val="16"/>
                <w:szCs w:val="16"/>
              </w:rPr>
              <w:t>2021</w:t>
            </w:r>
          </w:p>
        </w:tc>
        <w:tc>
          <w:tcPr>
            <w:tcW w:w="631" w:type="dxa"/>
            <w:tcBorders>
              <w:top w:val="nil"/>
              <w:left w:val="nil"/>
              <w:bottom w:val="single" w:sz="4" w:space="0" w:color="auto"/>
              <w:right w:val="nil"/>
            </w:tcBorders>
            <w:shd w:val="clear" w:color="auto" w:fill="C00000"/>
          </w:tcPr>
          <w:p w14:paraId="1E04A6D3" w14:textId="4FE456CD" w:rsidR="00653A2F" w:rsidRPr="00E2382F" w:rsidRDefault="00653A2F" w:rsidP="00084399">
            <w:pPr>
              <w:rPr>
                <w:rStyle w:val="nfasissutil"/>
                <w:sz w:val="16"/>
                <w:szCs w:val="16"/>
              </w:rPr>
            </w:pPr>
            <w:r>
              <w:rPr>
                <w:rStyle w:val="nfasissutil"/>
                <w:sz w:val="16"/>
                <w:szCs w:val="16"/>
              </w:rPr>
              <w:t>2022</w:t>
            </w:r>
          </w:p>
        </w:tc>
        <w:tc>
          <w:tcPr>
            <w:tcW w:w="1127" w:type="dxa"/>
            <w:tcBorders>
              <w:top w:val="nil"/>
              <w:left w:val="nil"/>
              <w:bottom w:val="single" w:sz="4" w:space="0" w:color="auto"/>
              <w:right w:val="nil"/>
            </w:tcBorders>
            <w:shd w:val="clear" w:color="auto" w:fill="C00000"/>
            <w:noWrap/>
            <w:vAlign w:val="center"/>
            <w:hideMark/>
          </w:tcPr>
          <w:p w14:paraId="57054AA3" w14:textId="46A75F6D" w:rsidR="00653A2F" w:rsidRPr="00E2382F" w:rsidRDefault="00653A2F" w:rsidP="00084399">
            <w:pPr>
              <w:rPr>
                <w:rStyle w:val="nfasissutil"/>
                <w:sz w:val="16"/>
                <w:szCs w:val="16"/>
              </w:rPr>
            </w:pPr>
            <w:r w:rsidRPr="00E2382F">
              <w:rPr>
                <w:rStyle w:val="nfasissutil"/>
                <w:sz w:val="16"/>
                <w:szCs w:val="16"/>
              </w:rPr>
              <w:t>Acumulado</w:t>
            </w:r>
          </w:p>
        </w:tc>
      </w:tr>
      <w:tr w:rsidR="00CF794E" w:rsidRPr="00E2382F" w14:paraId="3B622133" w14:textId="77777777" w:rsidTr="00E066D7">
        <w:trPr>
          <w:trHeight w:val="311"/>
        </w:trPr>
        <w:tc>
          <w:tcPr>
            <w:tcW w:w="996" w:type="dxa"/>
            <w:tcBorders>
              <w:top w:val="nil"/>
              <w:left w:val="nil"/>
              <w:bottom w:val="nil"/>
              <w:right w:val="single" w:sz="4" w:space="0" w:color="auto"/>
            </w:tcBorders>
            <w:shd w:val="clear" w:color="000000" w:fill="D9D9D9"/>
            <w:noWrap/>
            <w:vAlign w:val="bottom"/>
            <w:hideMark/>
          </w:tcPr>
          <w:p w14:paraId="7240007F" w14:textId="77777777" w:rsidR="00653A2F" w:rsidRPr="00E2382F" w:rsidRDefault="00653A2F" w:rsidP="00084399">
            <w:pPr>
              <w:rPr>
                <w:sz w:val="16"/>
                <w:szCs w:val="16"/>
                <w:lang w:eastAsia="es-ES"/>
              </w:rPr>
            </w:pPr>
            <w:r w:rsidRPr="00E2382F">
              <w:rPr>
                <w:sz w:val="16"/>
                <w:szCs w:val="16"/>
                <w:lang w:eastAsia="es-ES"/>
              </w:rPr>
              <w:t>Ingresos</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FEDF8" w14:textId="77777777" w:rsidR="00653A2F" w:rsidRPr="003B086D" w:rsidRDefault="00653A2F" w:rsidP="003B086D">
            <w:pPr>
              <w:jc w:val="center"/>
              <w:rPr>
                <w:sz w:val="14"/>
                <w:szCs w:val="14"/>
                <w:lang w:eastAsia="es-ES"/>
              </w:rPr>
            </w:pPr>
            <w:r w:rsidRPr="003B086D">
              <w:rPr>
                <w:sz w:val="14"/>
                <w:szCs w:val="14"/>
                <w:lang w:eastAsia="es-ES"/>
              </w:rPr>
              <w:t>6.001</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8FC6A" w14:textId="77777777" w:rsidR="00653A2F" w:rsidRPr="003B086D" w:rsidRDefault="00653A2F" w:rsidP="003B086D">
            <w:pPr>
              <w:jc w:val="center"/>
              <w:rPr>
                <w:sz w:val="14"/>
                <w:szCs w:val="14"/>
                <w:lang w:eastAsia="es-ES"/>
              </w:rPr>
            </w:pPr>
            <w:r w:rsidRPr="003B086D">
              <w:rPr>
                <w:sz w:val="14"/>
                <w:szCs w:val="14"/>
                <w:lang w:eastAsia="es-ES"/>
              </w:rPr>
              <w:t>19.025</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8469F" w14:textId="77777777" w:rsidR="00653A2F" w:rsidRPr="003B086D" w:rsidRDefault="00653A2F" w:rsidP="003B086D">
            <w:pPr>
              <w:jc w:val="center"/>
              <w:rPr>
                <w:sz w:val="14"/>
                <w:szCs w:val="14"/>
                <w:lang w:eastAsia="es-ES"/>
              </w:rPr>
            </w:pPr>
            <w:r w:rsidRPr="003B086D">
              <w:rPr>
                <w:sz w:val="14"/>
                <w:szCs w:val="14"/>
                <w:lang w:eastAsia="es-ES"/>
              </w:rPr>
              <w:t>21.373</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A32FB" w14:textId="77777777" w:rsidR="00653A2F" w:rsidRPr="003B086D" w:rsidRDefault="00653A2F" w:rsidP="003B086D">
            <w:pPr>
              <w:jc w:val="center"/>
              <w:rPr>
                <w:sz w:val="14"/>
                <w:szCs w:val="14"/>
                <w:lang w:eastAsia="es-ES"/>
              </w:rPr>
            </w:pPr>
            <w:r w:rsidRPr="003B086D">
              <w:rPr>
                <w:sz w:val="14"/>
                <w:szCs w:val="14"/>
                <w:lang w:eastAsia="es-ES"/>
              </w:rPr>
              <w:t>17.687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28C45" w14:textId="77777777" w:rsidR="00653A2F" w:rsidRPr="003B086D" w:rsidRDefault="00653A2F" w:rsidP="003B086D">
            <w:pPr>
              <w:jc w:val="center"/>
              <w:rPr>
                <w:sz w:val="14"/>
                <w:szCs w:val="14"/>
                <w:lang w:eastAsia="es-ES"/>
              </w:rPr>
            </w:pPr>
            <w:r w:rsidRPr="003B086D">
              <w:rPr>
                <w:sz w:val="14"/>
                <w:szCs w:val="14"/>
                <w:lang w:eastAsia="es-ES"/>
              </w:rPr>
              <w:t>20.308</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BF8AC" w14:textId="77777777" w:rsidR="00653A2F" w:rsidRPr="003B086D" w:rsidRDefault="00653A2F" w:rsidP="003B086D">
            <w:pPr>
              <w:jc w:val="center"/>
              <w:rPr>
                <w:sz w:val="14"/>
                <w:szCs w:val="14"/>
                <w:lang w:eastAsia="es-ES"/>
              </w:rPr>
            </w:pPr>
            <w:r w:rsidRPr="003B086D">
              <w:rPr>
                <w:sz w:val="14"/>
                <w:szCs w:val="14"/>
                <w:lang w:eastAsia="es-ES"/>
              </w:rPr>
              <w:t>21.420</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FD4DF" w14:textId="49481D5A" w:rsidR="00653A2F" w:rsidRPr="003B086D" w:rsidRDefault="00653A2F" w:rsidP="003B086D">
            <w:pPr>
              <w:jc w:val="center"/>
              <w:rPr>
                <w:sz w:val="14"/>
                <w:szCs w:val="14"/>
                <w:lang w:eastAsia="es-ES"/>
              </w:rPr>
            </w:pPr>
            <w:r w:rsidRPr="003B086D">
              <w:rPr>
                <w:sz w:val="14"/>
                <w:szCs w:val="14"/>
                <w:lang w:eastAsia="es-ES"/>
              </w:rPr>
              <w:t>18.</w:t>
            </w:r>
            <w:r w:rsidR="009B4887">
              <w:rPr>
                <w:sz w:val="14"/>
                <w:szCs w:val="14"/>
                <w:lang w:eastAsia="es-ES"/>
              </w:rPr>
              <w:t>663</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6488D" w14:textId="77777777" w:rsidR="00653A2F" w:rsidRPr="003B086D" w:rsidRDefault="00653A2F" w:rsidP="003B086D">
            <w:pPr>
              <w:jc w:val="center"/>
              <w:rPr>
                <w:sz w:val="14"/>
                <w:szCs w:val="14"/>
                <w:lang w:eastAsia="es-ES"/>
              </w:rPr>
            </w:pPr>
            <w:r w:rsidRPr="003B086D">
              <w:rPr>
                <w:sz w:val="14"/>
                <w:szCs w:val="14"/>
                <w:lang w:eastAsia="es-ES"/>
              </w:rPr>
              <w:t>19.050</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A2563" w14:textId="62761496" w:rsidR="00653A2F" w:rsidRPr="003B086D" w:rsidRDefault="00653A2F" w:rsidP="003B086D">
            <w:pPr>
              <w:jc w:val="center"/>
              <w:rPr>
                <w:sz w:val="14"/>
                <w:szCs w:val="14"/>
                <w:lang w:eastAsia="es-ES"/>
              </w:rPr>
            </w:pPr>
            <w:r w:rsidRPr="003B086D">
              <w:rPr>
                <w:sz w:val="14"/>
                <w:szCs w:val="14"/>
                <w:lang w:eastAsia="es-ES"/>
              </w:rPr>
              <w:t>1</w:t>
            </w:r>
            <w:r w:rsidR="009B4887">
              <w:rPr>
                <w:sz w:val="14"/>
                <w:szCs w:val="14"/>
                <w:lang w:eastAsia="es-ES"/>
              </w:rPr>
              <w:t>7.961</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90A79" w14:textId="6B47CE6E" w:rsidR="00653A2F" w:rsidRPr="003B086D" w:rsidRDefault="000136E0" w:rsidP="003B086D">
            <w:pPr>
              <w:jc w:val="center"/>
              <w:rPr>
                <w:sz w:val="14"/>
                <w:szCs w:val="14"/>
                <w:lang w:eastAsia="es-ES"/>
              </w:rPr>
            </w:pPr>
            <w:r>
              <w:rPr>
                <w:sz w:val="14"/>
                <w:szCs w:val="14"/>
                <w:lang w:eastAsia="es-ES"/>
              </w:rPr>
              <w:t>18.186</w:t>
            </w:r>
          </w:p>
        </w:tc>
        <w:tc>
          <w:tcPr>
            <w:tcW w:w="631" w:type="dxa"/>
            <w:tcBorders>
              <w:top w:val="single" w:sz="4" w:space="0" w:color="auto"/>
              <w:left w:val="single" w:sz="4" w:space="0" w:color="auto"/>
              <w:bottom w:val="single" w:sz="4" w:space="0" w:color="auto"/>
              <w:right w:val="single" w:sz="4" w:space="0" w:color="auto"/>
            </w:tcBorders>
          </w:tcPr>
          <w:p w14:paraId="0892A605" w14:textId="0C364FAB" w:rsidR="00653A2F" w:rsidRPr="003B086D" w:rsidRDefault="007D723B" w:rsidP="003B086D">
            <w:pPr>
              <w:jc w:val="center"/>
              <w:rPr>
                <w:sz w:val="14"/>
                <w:szCs w:val="14"/>
                <w:lang w:eastAsia="es-ES"/>
              </w:rPr>
            </w:pPr>
            <w:r>
              <w:rPr>
                <w:sz w:val="14"/>
                <w:szCs w:val="14"/>
                <w:lang w:eastAsia="es-ES"/>
              </w:rPr>
              <w:t>20.253</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3B70D" w14:textId="46CB9750" w:rsidR="00653A2F" w:rsidRPr="003B086D" w:rsidRDefault="000C4249" w:rsidP="003B086D">
            <w:pPr>
              <w:jc w:val="center"/>
              <w:rPr>
                <w:sz w:val="14"/>
                <w:szCs w:val="14"/>
                <w:lang w:eastAsia="es-ES"/>
              </w:rPr>
            </w:pPr>
            <w:r>
              <w:rPr>
                <w:sz w:val="14"/>
                <w:szCs w:val="14"/>
                <w:lang w:eastAsia="es-ES"/>
              </w:rPr>
              <w:t>199.927</w:t>
            </w:r>
          </w:p>
        </w:tc>
      </w:tr>
      <w:tr w:rsidR="00CF794E" w:rsidRPr="00E2382F" w14:paraId="39C44C30" w14:textId="77777777" w:rsidTr="00E066D7">
        <w:trPr>
          <w:trHeight w:val="311"/>
        </w:trPr>
        <w:tc>
          <w:tcPr>
            <w:tcW w:w="996" w:type="dxa"/>
            <w:tcBorders>
              <w:top w:val="nil"/>
              <w:left w:val="nil"/>
              <w:bottom w:val="nil"/>
              <w:right w:val="single" w:sz="4" w:space="0" w:color="auto"/>
            </w:tcBorders>
            <w:shd w:val="clear" w:color="000000" w:fill="D9D9D9"/>
            <w:noWrap/>
            <w:vAlign w:val="bottom"/>
            <w:hideMark/>
          </w:tcPr>
          <w:p w14:paraId="3EA07333" w14:textId="77777777" w:rsidR="00653A2F" w:rsidRPr="00E2382F" w:rsidRDefault="00653A2F" w:rsidP="00084399">
            <w:pPr>
              <w:rPr>
                <w:sz w:val="16"/>
                <w:szCs w:val="16"/>
                <w:lang w:eastAsia="es-ES"/>
              </w:rPr>
            </w:pPr>
            <w:r w:rsidRPr="00E2382F">
              <w:rPr>
                <w:sz w:val="16"/>
                <w:szCs w:val="16"/>
                <w:lang w:eastAsia="es-ES"/>
              </w:rPr>
              <w:t>Gastos</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044EB" w14:textId="77777777" w:rsidR="00653A2F" w:rsidRPr="003B086D" w:rsidRDefault="00653A2F" w:rsidP="003B086D">
            <w:pPr>
              <w:jc w:val="center"/>
              <w:rPr>
                <w:sz w:val="14"/>
                <w:szCs w:val="14"/>
                <w:lang w:eastAsia="es-ES"/>
              </w:rPr>
            </w:pPr>
            <w:r w:rsidRPr="003B086D">
              <w:rPr>
                <w:sz w:val="14"/>
                <w:szCs w:val="14"/>
                <w:lang w:eastAsia="es-ES"/>
              </w:rPr>
              <w:t>-7.161</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0B998" w14:textId="77777777" w:rsidR="00653A2F" w:rsidRPr="003B086D" w:rsidRDefault="00653A2F" w:rsidP="003B086D">
            <w:pPr>
              <w:jc w:val="center"/>
              <w:rPr>
                <w:sz w:val="14"/>
                <w:szCs w:val="14"/>
                <w:lang w:eastAsia="es-ES"/>
              </w:rPr>
            </w:pPr>
            <w:r w:rsidRPr="003B086D">
              <w:rPr>
                <w:sz w:val="14"/>
                <w:szCs w:val="14"/>
                <w:lang w:eastAsia="es-ES"/>
              </w:rPr>
              <w:t>-17.062</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CEE56" w14:textId="77777777" w:rsidR="00653A2F" w:rsidRPr="003B086D" w:rsidRDefault="00653A2F" w:rsidP="003B086D">
            <w:pPr>
              <w:jc w:val="center"/>
              <w:rPr>
                <w:sz w:val="14"/>
                <w:szCs w:val="14"/>
                <w:lang w:eastAsia="es-ES"/>
              </w:rPr>
            </w:pPr>
            <w:r w:rsidRPr="003B086D">
              <w:rPr>
                <w:sz w:val="14"/>
                <w:szCs w:val="14"/>
                <w:lang w:eastAsia="es-ES"/>
              </w:rPr>
              <w:t>-20.367</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02538" w14:textId="77777777" w:rsidR="00653A2F" w:rsidRPr="003B086D" w:rsidRDefault="00653A2F" w:rsidP="003B086D">
            <w:pPr>
              <w:jc w:val="center"/>
              <w:rPr>
                <w:sz w:val="14"/>
                <w:szCs w:val="14"/>
                <w:lang w:eastAsia="es-ES"/>
              </w:rPr>
            </w:pPr>
            <w:r w:rsidRPr="003B086D">
              <w:rPr>
                <w:sz w:val="14"/>
                <w:szCs w:val="14"/>
                <w:lang w:eastAsia="es-ES"/>
              </w:rPr>
              <w:t>-17.039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0B63B" w14:textId="77777777" w:rsidR="00653A2F" w:rsidRPr="003B086D" w:rsidRDefault="00653A2F" w:rsidP="003B086D">
            <w:pPr>
              <w:jc w:val="center"/>
              <w:rPr>
                <w:sz w:val="14"/>
                <w:szCs w:val="14"/>
                <w:lang w:eastAsia="es-ES"/>
              </w:rPr>
            </w:pPr>
            <w:r w:rsidRPr="003B086D">
              <w:rPr>
                <w:sz w:val="14"/>
                <w:szCs w:val="14"/>
                <w:lang w:eastAsia="es-ES"/>
              </w:rPr>
              <w:t>-18.802</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BA3AA" w14:textId="77777777" w:rsidR="00653A2F" w:rsidRPr="003B086D" w:rsidRDefault="00653A2F" w:rsidP="003B086D">
            <w:pPr>
              <w:jc w:val="center"/>
              <w:rPr>
                <w:sz w:val="14"/>
                <w:szCs w:val="14"/>
                <w:lang w:eastAsia="es-ES"/>
              </w:rPr>
            </w:pPr>
            <w:r w:rsidRPr="003B086D">
              <w:rPr>
                <w:sz w:val="14"/>
                <w:szCs w:val="14"/>
                <w:lang w:eastAsia="es-ES"/>
              </w:rPr>
              <w:t>-21.268</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28D5E" w14:textId="2A9F864E" w:rsidR="00653A2F" w:rsidRPr="003B086D" w:rsidRDefault="00653A2F" w:rsidP="003B086D">
            <w:pPr>
              <w:jc w:val="center"/>
              <w:rPr>
                <w:sz w:val="14"/>
                <w:szCs w:val="14"/>
                <w:lang w:eastAsia="es-ES"/>
              </w:rPr>
            </w:pPr>
            <w:r w:rsidRPr="003B086D">
              <w:rPr>
                <w:sz w:val="14"/>
                <w:szCs w:val="14"/>
                <w:lang w:eastAsia="es-ES"/>
              </w:rPr>
              <w:t>-18.</w:t>
            </w:r>
            <w:r w:rsidR="009B4887">
              <w:rPr>
                <w:sz w:val="14"/>
                <w:szCs w:val="14"/>
                <w:lang w:eastAsia="es-ES"/>
              </w:rPr>
              <w:t>533</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63C79" w14:textId="77777777" w:rsidR="00653A2F" w:rsidRPr="003B086D" w:rsidRDefault="00653A2F" w:rsidP="003B086D">
            <w:pPr>
              <w:jc w:val="center"/>
              <w:rPr>
                <w:sz w:val="14"/>
                <w:szCs w:val="14"/>
                <w:lang w:eastAsia="es-ES"/>
              </w:rPr>
            </w:pPr>
            <w:r w:rsidRPr="003B086D">
              <w:rPr>
                <w:sz w:val="14"/>
                <w:szCs w:val="14"/>
                <w:lang w:eastAsia="es-ES"/>
              </w:rPr>
              <w:t>-19.045</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AA1F6" w14:textId="07235763" w:rsidR="00653A2F" w:rsidRPr="003B086D" w:rsidRDefault="00653A2F" w:rsidP="003B086D">
            <w:pPr>
              <w:jc w:val="center"/>
              <w:rPr>
                <w:sz w:val="14"/>
                <w:szCs w:val="14"/>
                <w:lang w:eastAsia="es-ES"/>
              </w:rPr>
            </w:pPr>
            <w:r w:rsidRPr="003B086D">
              <w:rPr>
                <w:sz w:val="14"/>
                <w:szCs w:val="14"/>
                <w:lang w:eastAsia="es-ES"/>
              </w:rPr>
              <w:t>-1</w:t>
            </w:r>
            <w:r w:rsidR="009B4887">
              <w:rPr>
                <w:sz w:val="14"/>
                <w:szCs w:val="14"/>
                <w:lang w:eastAsia="es-ES"/>
              </w:rPr>
              <w:t>7.947</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41018" w14:textId="7D8D9D0D" w:rsidR="00653A2F" w:rsidRPr="003B086D" w:rsidRDefault="000136E0" w:rsidP="003B086D">
            <w:pPr>
              <w:jc w:val="center"/>
              <w:rPr>
                <w:sz w:val="14"/>
                <w:szCs w:val="14"/>
                <w:lang w:eastAsia="es-ES"/>
              </w:rPr>
            </w:pPr>
            <w:r>
              <w:rPr>
                <w:sz w:val="14"/>
                <w:szCs w:val="14"/>
                <w:lang w:eastAsia="es-ES"/>
              </w:rPr>
              <w:t>-18.167</w:t>
            </w:r>
          </w:p>
        </w:tc>
        <w:tc>
          <w:tcPr>
            <w:tcW w:w="631" w:type="dxa"/>
            <w:tcBorders>
              <w:top w:val="single" w:sz="4" w:space="0" w:color="auto"/>
              <w:left w:val="single" w:sz="4" w:space="0" w:color="auto"/>
              <w:bottom w:val="single" w:sz="4" w:space="0" w:color="auto"/>
              <w:right w:val="single" w:sz="4" w:space="0" w:color="auto"/>
            </w:tcBorders>
          </w:tcPr>
          <w:p w14:paraId="00193A0E" w14:textId="77777777" w:rsidR="00CF794E" w:rsidRDefault="00CF794E" w:rsidP="003B086D">
            <w:pPr>
              <w:jc w:val="center"/>
              <w:rPr>
                <w:sz w:val="14"/>
                <w:szCs w:val="14"/>
                <w:lang w:eastAsia="es-ES"/>
              </w:rPr>
            </w:pPr>
          </w:p>
          <w:p w14:paraId="282B81C6" w14:textId="2D67BF0E" w:rsidR="00653A2F" w:rsidRPr="003B086D" w:rsidRDefault="007D723B" w:rsidP="003B086D">
            <w:pPr>
              <w:jc w:val="center"/>
              <w:rPr>
                <w:sz w:val="14"/>
                <w:szCs w:val="14"/>
                <w:lang w:eastAsia="es-ES"/>
              </w:rPr>
            </w:pPr>
            <w:r>
              <w:rPr>
                <w:sz w:val="14"/>
                <w:szCs w:val="14"/>
                <w:lang w:eastAsia="es-ES"/>
              </w:rPr>
              <w:t>-20.251</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A2542" w14:textId="6D0F4017" w:rsidR="00653A2F" w:rsidRPr="003B086D" w:rsidRDefault="00653A2F" w:rsidP="003B086D">
            <w:pPr>
              <w:jc w:val="center"/>
              <w:rPr>
                <w:sz w:val="14"/>
                <w:szCs w:val="14"/>
                <w:lang w:eastAsia="es-ES"/>
              </w:rPr>
            </w:pPr>
            <w:r w:rsidRPr="003B086D">
              <w:rPr>
                <w:sz w:val="14"/>
                <w:szCs w:val="14"/>
                <w:lang w:eastAsia="es-ES"/>
              </w:rPr>
              <w:t>-</w:t>
            </w:r>
            <w:r w:rsidR="000C4249">
              <w:rPr>
                <w:sz w:val="14"/>
                <w:szCs w:val="14"/>
                <w:lang w:eastAsia="es-ES"/>
              </w:rPr>
              <w:t>195.642</w:t>
            </w:r>
          </w:p>
        </w:tc>
      </w:tr>
      <w:tr w:rsidR="00CF794E" w:rsidRPr="00E2382F" w14:paraId="02F7363E" w14:textId="77777777" w:rsidTr="00E066D7">
        <w:trPr>
          <w:trHeight w:val="311"/>
        </w:trPr>
        <w:tc>
          <w:tcPr>
            <w:tcW w:w="996" w:type="dxa"/>
            <w:tcBorders>
              <w:top w:val="nil"/>
              <w:left w:val="nil"/>
              <w:bottom w:val="nil"/>
              <w:right w:val="single" w:sz="4" w:space="0" w:color="auto"/>
            </w:tcBorders>
            <w:shd w:val="clear" w:color="000000" w:fill="D9D9D9"/>
            <w:noWrap/>
            <w:vAlign w:val="bottom"/>
            <w:hideMark/>
          </w:tcPr>
          <w:p w14:paraId="3AABA6E7" w14:textId="77777777" w:rsidR="00653A2F" w:rsidRPr="00E2382F" w:rsidRDefault="00653A2F" w:rsidP="00084399">
            <w:pPr>
              <w:rPr>
                <w:sz w:val="16"/>
                <w:szCs w:val="16"/>
                <w:lang w:eastAsia="es-ES"/>
              </w:rPr>
            </w:pPr>
            <w:r w:rsidRPr="00E2382F">
              <w:rPr>
                <w:sz w:val="16"/>
                <w:szCs w:val="16"/>
                <w:lang w:eastAsia="es-ES"/>
              </w:rPr>
              <w:t>Inversiones</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C11C" w14:textId="1012858B" w:rsidR="00653A2F" w:rsidRPr="003B086D" w:rsidRDefault="007D723B" w:rsidP="003B086D">
            <w:pPr>
              <w:jc w:val="center"/>
              <w:rPr>
                <w:sz w:val="14"/>
                <w:szCs w:val="14"/>
                <w:lang w:eastAsia="es-ES"/>
              </w:rPr>
            </w:pPr>
            <w:r>
              <w:rPr>
                <w:sz w:val="14"/>
                <w:szCs w:val="14"/>
                <w:lang w:eastAsia="es-ES"/>
              </w:rPr>
              <w:t>-</w:t>
            </w:r>
            <w:r w:rsidR="00653A2F" w:rsidRPr="003B086D">
              <w:rPr>
                <w:sz w:val="14"/>
                <w:szCs w:val="14"/>
                <w:lang w:eastAsia="es-ES"/>
              </w:rPr>
              <w:t>1.045</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33D2B" w14:textId="77777777" w:rsidR="00653A2F" w:rsidRPr="003B086D" w:rsidRDefault="00653A2F" w:rsidP="003B086D">
            <w:pPr>
              <w:jc w:val="center"/>
              <w:rPr>
                <w:sz w:val="14"/>
                <w:szCs w:val="14"/>
                <w:lang w:eastAsia="es-ES"/>
              </w:rPr>
            </w:pPr>
            <w:r w:rsidRPr="003B086D">
              <w:rPr>
                <w:sz w:val="14"/>
                <w:szCs w:val="14"/>
                <w:lang w:eastAsia="es-ES"/>
              </w:rPr>
              <w:t>-1.622</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E66F9" w14:textId="77777777" w:rsidR="00653A2F" w:rsidRPr="003B086D" w:rsidRDefault="00653A2F" w:rsidP="003B086D">
            <w:pPr>
              <w:jc w:val="center"/>
              <w:rPr>
                <w:sz w:val="14"/>
                <w:szCs w:val="14"/>
                <w:lang w:eastAsia="es-ES"/>
              </w:rPr>
            </w:pPr>
            <w:r w:rsidRPr="003B086D">
              <w:rPr>
                <w:sz w:val="14"/>
                <w:szCs w:val="14"/>
                <w:lang w:eastAsia="es-ES"/>
              </w:rPr>
              <w:t>-45</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13BD2" w14:textId="77777777" w:rsidR="00653A2F" w:rsidRPr="003B086D" w:rsidRDefault="00653A2F" w:rsidP="003B086D">
            <w:pPr>
              <w:jc w:val="center"/>
              <w:rPr>
                <w:sz w:val="14"/>
                <w:szCs w:val="14"/>
                <w:lang w:eastAsia="es-ES"/>
              </w:rPr>
            </w:pPr>
            <w:r w:rsidRPr="003B086D">
              <w:rPr>
                <w:sz w:val="14"/>
                <w:szCs w:val="14"/>
                <w:lang w:eastAsia="es-ES"/>
              </w:rPr>
              <w:t>-49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0A735" w14:textId="77777777" w:rsidR="00653A2F" w:rsidRPr="003B086D" w:rsidRDefault="00653A2F" w:rsidP="003B086D">
            <w:pPr>
              <w:jc w:val="center"/>
              <w:rPr>
                <w:sz w:val="14"/>
                <w:szCs w:val="14"/>
                <w:lang w:eastAsia="es-ES"/>
              </w:rPr>
            </w:pPr>
            <w:r w:rsidRPr="003B086D">
              <w:rPr>
                <w:sz w:val="14"/>
                <w:szCs w:val="14"/>
                <w:lang w:eastAsia="es-ES"/>
              </w:rPr>
              <w:t>-108</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B4D67" w14:textId="77777777" w:rsidR="00653A2F" w:rsidRPr="003B086D" w:rsidRDefault="00653A2F" w:rsidP="003B086D">
            <w:pPr>
              <w:jc w:val="center"/>
              <w:rPr>
                <w:sz w:val="14"/>
                <w:szCs w:val="14"/>
                <w:lang w:eastAsia="es-ES"/>
              </w:rPr>
            </w:pPr>
            <w:r w:rsidRPr="003B086D">
              <w:rPr>
                <w:sz w:val="14"/>
                <w:szCs w:val="14"/>
                <w:lang w:eastAsia="es-ES"/>
              </w:rPr>
              <w:t>-88</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56E9E" w14:textId="77777777" w:rsidR="00653A2F" w:rsidRPr="003B086D" w:rsidRDefault="00653A2F" w:rsidP="003B086D">
            <w:pPr>
              <w:jc w:val="center"/>
              <w:rPr>
                <w:sz w:val="14"/>
                <w:szCs w:val="14"/>
                <w:lang w:eastAsia="es-ES"/>
              </w:rPr>
            </w:pPr>
            <w:r w:rsidRPr="003B086D">
              <w:rPr>
                <w:sz w:val="14"/>
                <w:szCs w:val="14"/>
                <w:lang w:eastAsia="es-ES"/>
              </w:rPr>
              <w:t>-15</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16329" w14:textId="77777777" w:rsidR="00653A2F" w:rsidRPr="003B086D" w:rsidRDefault="00653A2F" w:rsidP="003B086D">
            <w:pPr>
              <w:jc w:val="center"/>
              <w:rPr>
                <w:sz w:val="14"/>
                <w:szCs w:val="14"/>
                <w:lang w:eastAsia="es-ES"/>
              </w:rPr>
            </w:pPr>
            <w:r w:rsidRPr="003B086D">
              <w:rPr>
                <w:sz w:val="14"/>
                <w:szCs w:val="14"/>
                <w:lang w:eastAsia="es-ES"/>
              </w:rPr>
              <w:t>-22</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60BD7" w14:textId="6EAD7A3D" w:rsidR="00653A2F" w:rsidRPr="003B086D" w:rsidRDefault="00653A2F" w:rsidP="003B086D">
            <w:pPr>
              <w:jc w:val="center"/>
              <w:rPr>
                <w:sz w:val="14"/>
                <w:szCs w:val="14"/>
                <w:lang w:eastAsia="es-ES"/>
              </w:rPr>
            </w:pPr>
            <w:r w:rsidRPr="003B086D">
              <w:rPr>
                <w:sz w:val="14"/>
                <w:szCs w:val="14"/>
                <w:lang w:eastAsia="es-ES"/>
              </w:rPr>
              <w:t>-1</w:t>
            </w:r>
            <w:r w:rsidR="000136E0">
              <w:rPr>
                <w:sz w:val="14"/>
                <w:szCs w:val="14"/>
                <w:lang w:eastAsia="es-ES"/>
              </w:rPr>
              <w:t>78</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0F8F8" w14:textId="3F66DE64" w:rsidR="00653A2F" w:rsidRPr="003B086D" w:rsidRDefault="000136E0" w:rsidP="003B086D">
            <w:pPr>
              <w:jc w:val="center"/>
              <w:rPr>
                <w:sz w:val="14"/>
                <w:szCs w:val="14"/>
                <w:lang w:eastAsia="es-ES"/>
              </w:rPr>
            </w:pPr>
            <w:r>
              <w:rPr>
                <w:sz w:val="14"/>
                <w:szCs w:val="14"/>
                <w:lang w:eastAsia="es-ES"/>
              </w:rPr>
              <w:t>-15</w:t>
            </w:r>
          </w:p>
        </w:tc>
        <w:tc>
          <w:tcPr>
            <w:tcW w:w="631" w:type="dxa"/>
            <w:tcBorders>
              <w:top w:val="single" w:sz="4" w:space="0" w:color="auto"/>
              <w:left w:val="single" w:sz="4" w:space="0" w:color="auto"/>
              <w:bottom w:val="single" w:sz="4" w:space="0" w:color="auto"/>
              <w:right w:val="single" w:sz="4" w:space="0" w:color="auto"/>
            </w:tcBorders>
          </w:tcPr>
          <w:p w14:paraId="2122BB80" w14:textId="77777777" w:rsidR="007D723B" w:rsidRDefault="007D723B" w:rsidP="003B086D">
            <w:pPr>
              <w:jc w:val="center"/>
              <w:rPr>
                <w:sz w:val="14"/>
                <w:szCs w:val="14"/>
                <w:lang w:eastAsia="es-ES"/>
              </w:rPr>
            </w:pPr>
          </w:p>
          <w:p w14:paraId="5BBCD8A2" w14:textId="451DBE85" w:rsidR="00653A2F" w:rsidRPr="003B086D" w:rsidRDefault="007D723B" w:rsidP="003B086D">
            <w:pPr>
              <w:jc w:val="center"/>
              <w:rPr>
                <w:sz w:val="14"/>
                <w:szCs w:val="14"/>
                <w:lang w:eastAsia="es-ES"/>
              </w:rPr>
            </w:pPr>
            <w:r>
              <w:rPr>
                <w:sz w:val="14"/>
                <w:szCs w:val="14"/>
                <w:lang w:eastAsia="es-ES"/>
              </w:rPr>
              <w:t>-70</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C0EF9" w14:textId="177FB22D" w:rsidR="00653A2F" w:rsidRPr="003B086D" w:rsidRDefault="00653A2F" w:rsidP="003B086D">
            <w:pPr>
              <w:jc w:val="center"/>
              <w:rPr>
                <w:sz w:val="14"/>
                <w:szCs w:val="14"/>
                <w:lang w:eastAsia="es-ES"/>
              </w:rPr>
            </w:pPr>
            <w:r w:rsidRPr="003B086D">
              <w:rPr>
                <w:sz w:val="14"/>
                <w:szCs w:val="14"/>
                <w:lang w:eastAsia="es-ES"/>
              </w:rPr>
              <w:t>-3.2</w:t>
            </w:r>
            <w:r w:rsidR="000136E0">
              <w:rPr>
                <w:sz w:val="14"/>
                <w:szCs w:val="14"/>
                <w:lang w:eastAsia="es-ES"/>
              </w:rPr>
              <w:t>57</w:t>
            </w:r>
          </w:p>
        </w:tc>
      </w:tr>
      <w:tr w:rsidR="00CF794E" w:rsidRPr="00E2382F" w14:paraId="0A137EFD" w14:textId="77777777" w:rsidTr="00E066D7">
        <w:trPr>
          <w:trHeight w:val="311"/>
        </w:trPr>
        <w:tc>
          <w:tcPr>
            <w:tcW w:w="996" w:type="dxa"/>
            <w:tcBorders>
              <w:top w:val="nil"/>
              <w:left w:val="nil"/>
              <w:bottom w:val="nil"/>
              <w:right w:val="single" w:sz="4" w:space="0" w:color="auto"/>
            </w:tcBorders>
            <w:shd w:val="clear" w:color="000000" w:fill="D9D9D9"/>
            <w:vAlign w:val="bottom"/>
            <w:hideMark/>
          </w:tcPr>
          <w:p w14:paraId="60E88EA9" w14:textId="77777777" w:rsidR="00653A2F" w:rsidRPr="00E2382F" w:rsidRDefault="00653A2F" w:rsidP="00084399">
            <w:pPr>
              <w:rPr>
                <w:sz w:val="16"/>
                <w:szCs w:val="16"/>
                <w:lang w:eastAsia="es-ES"/>
              </w:rPr>
            </w:pPr>
            <w:r w:rsidRPr="00E2382F">
              <w:rPr>
                <w:sz w:val="16"/>
                <w:szCs w:val="16"/>
                <w:lang w:eastAsia="es-ES"/>
              </w:rPr>
              <w:t>Excedente ejercicio</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5D4B1" w14:textId="77777777" w:rsidR="00653A2F" w:rsidRPr="003B086D" w:rsidRDefault="00653A2F" w:rsidP="003B086D">
            <w:pPr>
              <w:jc w:val="center"/>
              <w:rPr>
                <w:sz w:val="14"/>
                <w:szCs w:val="14"/>
                <w:lang w:eastAsia="es-ES"/>
              </w:rPr>
            </w:pPr>
            <w:r w:rsidRPr="003B086D">
              <w:rPr>
                <w:sz w:val="14"/>
                <w:szCs w:val="14"/>
                <w:lang w:eastAsia="es-ES"/>
              </w:rPr>
              <w:t>-1.160</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D7F56" w14:textId="77777777" w:rsidR="00653A2F" w:rsidRPr="003B086D" w:rsidRDefault="00653A2F" w:rsidP="003B086D">
            <w:pPr>
              <w:jc w:val="center"/>
              <w:rPr>
                <w:sz w:val="14"/>
                <w:szCs w:val="14"/>
                <w:lang w:eastAsia="es-ES"/>
              </w:rPr>
            </w:pPr>
            <w:r w:rsidRPr="003B086D">
              <w:rPr>
                <w:sz w:val="14"/>
                <w:szCs w:val="14"/>
                <w:lang w:eastAsia="es-ES"/>
              </w:rPr>
              <w:t>1.963</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AFBCE" w14:textId="77777777" w:rsidR="00653A2F" w:rsidRPr="003B086D" w:rsidRDefault="00653A2F" w:rsidP="003B086D">
            <w:pPr>
              <w:jc w:val="center"/>
              <w:rPr>
                <w:sz w:val="14"/>
                <w:szCs w:val="14"/>
                <w:lang w:eastAsia="es-ES"/>
              </w:rPr>
            </w:pPr>
            <w:r w:rsidRPr="003B086D">
              <w:rPr>
                <w:sz w:val="14"/>
                <w:szCs w:val="14"/>
                <w:lang w:eastAsia="es-ES"/>
              </w:rPr>
              <w:t>1.006</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AE772" w14:textId="77777777" w:rsidR="00653A2F" w:rsidRPr="003B086D" w:rsidRDefault="00653A2F" w:rsidP="003B086D">
            <w:pPr>
              <w:jc w:val="center"/>
              <w:rPr>
                <w:sz w:val="14"/>
                <w:szCs w:val="14"/>
                <w:lang w:eastAsia="es-ES"/>
              </w:rPr>
            </w:pPr>
            <w:r w:rsidRPr="003B086D">
              <w:rPr>
                <w:sz w:val="14"/>
                <w:szCs w:val="14"/>
                <w:lang w:eastAsia="es-ES"/>
              </w:rPr>
              <w:t>648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E09E9" w14:textId="77777777" w:rsidR="00653A2F" w:rsidRPr="003B086D" w:rsidRDefault="00653A2F" w:rsidP="003B086D">
            <w:pPr>
              <w:jc w:val="center"/>
              <w:rPr>
                <w:sz w:val="14"/>
                <w:szCs w:val="14"/>
                <w:lang w:eastAsia="es-ES"/>
              </w:rPr>
            </w:pPr>
            <w:r w:rsidRPr="003B086D">
              <w:rPr>
                <w:sz w:val="14"/>
                <w:szCs w:val="14"/>
                <w:lang w:eastAsia="es-ES"/>
              </w:rPr>
              <w:t>1.506</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EEF1D" w14:textId="77777777" w:rsidR="00653A2F" w:rsidRPr="003B086D" w:rsidRDefault="00653A2F" w:rsidP="003B086D">
            <w:pPr>
              <w:jc w:val="center"/>
              <w:rPr>
                <w:sz w:val="14"/>
                <w:szCs w:val="14"/>
                <w:lang w:eastAsia="es-ES"/>
              </w:rPr>
            </w:pPr>
            <w:r w:rsidRPr="003B086D">
              <w:rPr>
                <w:sz w:val="14"/>
                <w:szCs w:val="14"/>
                <w:lang w:eastAsia="es-ES"/>
              </w:rPr>
              <w:t>152</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7D93E" w14:textId="7DBB1DCB" w:rsidR="00653A2F" w:rsidRPr="003B086D" w:rsidRDefault="00653A2F" w:rsidP="003B086D">
            <w:pPr>
              <w:jc w:val="center"/>
              <w:rPr>
                <w:sz w:val="14"/>
                <w:szCs w:val="14"/>
                <w:lang w:eastAsia="es-ES"/>
              </w:rPr>
            </w:pPr>
            <w:r w:rsidRPr="003B086D">
              <w:rPr>
                <w:sz w:val="14"/>
                <w:szCs w:val="14"/>
                <w:lang w:eastAsia="es-ES"/>
              </w:rPr>
              <w:t>13</w:t>
            </w:r>
            <w:r w:rsidR="009B4887">
              <w:rPr>
                <w:sz w:val="14"/>
                <w:szCs w:val="14"/>
                <w:lang w:eastAsia="es-ES"/>
              </w:rPr>
              <w:t>0</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5F1B7" w14:textId="7445C6FC" w:rsidR="00653A2F" w:rsidRPr="003B086D" w:rsidRDefault="009B4887" w:rsidP="003B086D">
            <w:pPr>
              <w:jc w:val="center"/>
              <w:rPr>
                <w:sz w:val="14"/>
                <w:szCs w:val="14"/>
                <w:lang w:eastAsia="es-ES"/>
              </w:rPr>
            </w:pPr>
            <w:r>
              <w:rPr>
                <w:sz w:val="14"/>
                <w:szCs w:val="14"/>
                <w:lang w:eastAsia="es-ES"/>
              </w:rPr>
              <w:t>4.81</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703A5" w14:textId="7F5DE141" w:rsidR="00653A2F" w:rsidRPr="003B086D" w:rsidRDefault="00653A2F" w:rsidP="003B086D">
            <w:pPr>
              <w:jc w:val="center"/>
              <w:rPr>
                <w:sz w:val="14"/>
                <w:szCs w:val="14"/>
                <w:lang w:eastAsia="es-ES"/>
              </w:rPr>
            </w:pPr>
            <w:r w:rsidRPr="003B086D">
              <w:rPr>
                <w:sz w:val="14"/>
                <w:szCs w:val="14"/>
                <w:lang w:eastAsia="es-ES"/>
              </w:rPr>
              <w:t>1</w:t>
            </w:r>
            <w:r w:rsidR="000136E0">
              <w:rPr>
                <w:sz w:val="14"/>
                <w:szCs w:val="14"/>
                <w:lang w:eastAsia="es-ES"/>
              </w:rPr>
              <w:t>4.9</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3CF0D" w14:textId="5DAB3024" w:rsidR="00653A2F" w:rsidRPr="003B086D" w:rsidRDefault="000136E0" w:rsidP="003B086D">
            <w:pPr>
              <w:jc w:val="center"/>
              <w:rPr>
                <w:sz w:val="14"/>
                <w:szCs w:val="14"/>
                <w:lang w:eastAsia="es-ES"/>
              </w:rPr>
            </w:pPr>
            <w:r>
              <w:rPr>
                <w:sz w:val="14"/>
                <w:szCs w:val="14"/>
                <w:lang w:eastAsia="es-ES"/>
              </w:rPr>
              <w:t>18.8</w:t>
            </w:r>
          </w:p>
        </w:tc>
        <w:tc>
          <w:tcPr>
            <w:tcW w:w="631" w:type="dxa"/>
            <w:tcBorders>
              <w:top w:val="single" w:sz="4" w:space="0" w:color="auto"/>
              <w:left w:val="single" w:sz="4" w:space="0" w:color="auto"/>
              <w:bottom w:val="single" w:sz="4" w:space="0" w:color="auto"/>
              <w:right w:val="single" w:sz="4" w:space="0" w:color="auto"/>
            </w:tcBorders>
          </w:tcPr>
          <w:p w14:paraId="03934DD6" w14:textId="77777777" w:rsidR="007D723B" w:rsidRDefault="007D723B" w:rsidP="003B086D">
            <w:pPr>
              <w:jc w:val="center"/>
              <w:rPr>
                <w:sz w:val="14"/>
                <w:szCs w:val="14"/>
                <w:lang w:eastAsia="es-ES"/>
              </w:rPr>
            </w:pPr>
          </w:p>
          <w:p w14:paraId="07973640" w14:textId="6C90A192" w:rsidR="00653A2F" w:rsidRPr="003B086D" w:rsidRDefault="007D723B" w:rsidP="003B086D">
            <w:pPr>
              <w:jc w:val="center"/>
              <w:rPr>
                <w:sz w:val="14"/>
                <w:szCs w:val="14"/>
                <w:lang w:eastAsia="es-ES"/>
              </w:rPr>
            </w:pPr>
            <w:r>
              <w:rPr>
                <w:sz w:val="14"/>
                <w:szCs w:val="14"/>
                <w:lang w:eastAsia="es-ES"/>
              </w:rPr>
              <w:t>2,1</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ACDBB" w14:textId="51AB56D8" w:rsidR="00653A2F" w:rsidRPr="00E066D7" w:rsidRDefault="00653A2F" w:rsidP="003B086D">
            <w:pPr>
              <w:jc w:val="center"/>
              <w:rPr>
                <w:b/>
                <w:bCs/>
                <w:sz w:val="14"/>
                <w:szCs w:val="14"/>
                <w:lang w:eastAsia="es-ES"/>
              </w:rPr>
            </w:pPr>
            <w:r w:rsidRPr="00E066D7">
              <w:rPr>
                <w:b/>
                <w:bCs/>
                <w:sz w:val="14"/>
                <w:szCs w:val="14"/>
                <w:lang w:eastAsia="es-ES"/>
              </w:rPr>
              <w:t>4.2</w:t>
            </w:r>
            <w:r w:rsidR="007D723B" w:rsidRPr="00E066D7">
              <w:rPr>
                <w:b/>
                <w:bCs/>
                <w:sz w:val="14"/>
                <w:szCs w:val="14"/>
                <w:lang w:eastAsia="es-ES"/>
              </w:rPr>
              <w:t>8</w:t>
            </w:r>
            <w:r w:rsidRPr="00E066D7">
              <w:rPr>
                <w:b/>
                <w:bCs/>
                <w:sz w:val="14"/>
                <w:szCs w:val="14"/>
                <w:lang w:eastAsia="es-ES"/>
              </w:rPr>
              <w:t>6</w:t>
            </w:r>
          </w:p>
        </w:tc>
      </w:tr>
      <w:tr w:rsidR="00CF794E" w:rsidRPr="00E2382F" w14:paraId="1C99B5A9" w14:textId="77777777" w:rsidTr="00E066D7">
        <w:trPr>
          <w:trHeight w:val="311"/>
        </w:trPr>
        <w:tc>
          <w:tcPr>
            <w:tcW w:w="996" w:type="dxa"/>
            <w:tcBorders>
              <w:top w:val="nil"/>
              <w:left w:val="nil"/>
              <w:bottom w:val="nil"/>
              <w:right w:val="single" w:sz="4" w:space="0" w:color="auto"/>
            </w:tcBorders>
            <w:shd w:val="clear" w:color="000000" w:fill="D9D9D9"/>
            <w:vAlign w:val="bottom"/>
            <w:hideMark/>
          </w:tcPr>
          <w:p w14:paraId="28FB73A6" w14:textId="77777777" w:rsidR="00653A2F" w:rsidRPr="00E2382F" w:rsidRDefault="00653A2F" w:rsidP="00084399">
            <w:pPr>
              <w:rPr>
                <w:sz w:val="16"/>
                <w:szCs w:val="16"/>
                <w:lang w:eastAsia="es-ES"/>
              </w:rPr>
            </w:pPr>
            <w:r w:rsidRPr="00E2382F">
              <w:rPr>
                <w:sz w:val="16"/>
                <w:szCs w:val="16"/>
                <w:lang w:eastAsia="es-ES"/>
              </w:rPr>
              <w:t>Remanente acumulado</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06292" w14:textId="77777777" w:rsidR="00653A2F" w:rsidRPr="003B086D" w:rsidRDefault="00653A2F" w:rsidP="003B086D">
            <w:pPr>
              <w:jc w:val="center"/>
              <w:rPr>
                <w:sz w:val="14"/>
                <w:szCs w:val="14"/>
                <w:lang w:eastAsia="es-ES"/>
              </w:rPr>
            </w:pPr>
            <w:r w:rsidRPr="003B086D">
              <w:rPr>
                <w:sz w:val="14"/>
                <w:szCs w:val="14"/>
                <w:lang w:eastAsia="es-ES"/>
              </w:rPr>
              <w:t>-1.160</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26EE1" w14:textId="77777777" w:rsidR="00653A2F" w:rsidRPr="003B086D" w:rsidRDefault="00653A2F" w:rsidP="003B086D">
            <w:pPr>
              <w:jc w:val="center"/>
              <w:rPr>
                <w:sz w:val="14"/>
                <w:szCs w:val="14"/>
                <w:lang w:eastAsia="es-ES"/>
              </w:rPr>
            </w:pPr>
            <w:r w:rsidRPr="003B086D">
              <w:rPr>
                <w:sz w:val="14"/>
                <w:szCs w:val="14"/>
                <w:lang w:eastAsia="es-ES"/>
              </w:rPr>
              <w:t>803</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48088" w14:textId="77777777" w:rsidR="00653A2F" w:rsidRPr="003B086D" w:rsidRDefault="00653A2F" w:rsidP="003B086D">
            <w:pPr>
              <w:jc w:val="center"/>
              <w:rPr>
                <w:sz w:val="14"/>
                <w:szCs w:val="14"/>
                <w:lang w:eastAsia="es-ES"/>
              </w:rPr>
            </w:pPr>
            <w:r w:rsidRPr="003B086D">
              <w:rPr>
                <w:sz w:val="14"/>
                <w:szCs w:val="14"/>
                <w:lang w:eastAsia="es-ES"/>
              </w:rPr>
              <w:t>1.809</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3D698" w14:textId="77777777" w:rsidR="00653A2F" w:rsidRPr="003B086D" w:rsidRDefault="00653A2F" w:rsidP="003B086D">
            <w:pPr>
              <w:jc w:val="center"/>
              <w:rPr>
                <w:sz w:val="14"/>
                <w:szCs w:val="14"/>
                <w:lang w:eastAsia="es-ES"/>
              </w:rPr>
            </w:pPr>
            <w:r w:rsidRPr="003B086D">
              <w:rPr>
                <w:sz w:val="14"/>
                <w:szCs w:val="14"/>
                <w:lang w:eastAsia="es-ES"/>
              </w:rPr>
              <w:t>2.457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C625A" w14:textId="77777777" w:rsidR="00653A2F" w:rsidRPr="003B086D" w:rsidRDefault="00653A2F" w:rsidP="003B086D">
            <w:pPr>
              <w:jc w:val="center"/>
              <w:rPr>
                <w:sz w:val="14"/>
                <w:szCs w:val="14"/>
                <w:lang w:eastAsia="es-ES"/>
              </w:rPr>
            </w:pPr>
            <w:r w:rsidRPr="003B086D">
              <w:rPr>
                <w:sz w:val="14"/>
                <w:szCs w:val="14"/>
                <w:lang w:eastAsia="es-ES"/>
              </w:rPr>
              <w:t>3.963</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60E6E" w14:textId="77777777" w:rsidR="00653A2F" w:rsidRPr="003B086D" w:rsidRDefault="00653A2F" w:rsidP="003B086D">
            <w:pPr>
              <w:jc w:val="center"/>
              <w:rPr>
                <w:sz w:val="14"/>
                <w:szCs w:val="14"/>
                <w:lang w:eastAsia="es-ES"/>
              </w:rPr>
            </w:pPr>
            <w:r w:rsidRPr="003B086D">
              <w:rPr>
                <w:sz w:val="14"/>
                <w:szCs w:val="14"/>
                <w:lang w:eastAsia="es-ES"/>
              </w:rPr>
              <w:t>4.115</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475FD" w14:textId="750BC9CB" w:rsidR="00653A2F" w:rsidRPr="003B086D" w:rsidRDefault="00653A2F" w:rsidP="003B086D">
            <w:pPr>
              <w:jc w:val="center"/>
              <w:rPr>
                <w:sz w:val="14"/>
                <w:szCs w:val="14"/>
                <w:lang w:eastAsia="es-ES"/>
              </w:rPr>
            </w:pPr>
            <w:r w:rsidRPr="003B086D">
              <w:rPr>
                <w:sz w:val="14"/>
                <w:szCs w:val="14"/>
                <w:lang w:eastAsia="es-ES"/>
              </w:rPr>
              <w:t>4</w:t>
            </w:r>
            <w:r w:rsidR="009B4887">
              <w:rPr>
                <w:sz w:val="14"/>
                <w:szCs w:val="14"/>
                <w:lang w:eastAsia="es-ES"/>
              </w:rPr>
              <w:t>.245</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F578F" w14:textId="0A38C165" w:rsidR="00653A2F" w:rsidRPr="003B086D" w:rsidRDefault="00653A2F" w:rsidP="003B086D">
            <w:pPr>
              <w:jc w:val="center"/>
              <w:rPr>
                <w:sz w:val="14"/>
                <w:szCs w:val="14"/>
                <w:lang w:eastAsia="es-ES"/>
              </w:rPr>
            </w:pPr>
            <w:r w:rsidRPr="003B086D">
              <w:rPr>
                <w:sz w:val="14"/>
                <w:szCs w:val="14"/>
                <w:lang w:eastAsia="es-ES"/>
              </w:rPr>
              <w:t>4.25</w:t>
            </w:r>
            <w:r w:rsidR="009B4887">
              <w:rPr>
                <w:sz w:val="14"/>
                <w:szCs w:val="14"/>
                <w:lang w:eastAsia="es-ES"/>
              </w:rPr>
              <w:t>0</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ECB1D" w14:textId="0DFE4216" w:rsidR="00653A2F" w:rsidRPr="003B086D" w:rsidRDefault="00653A2F" w:rsidP="003B086D">
            <w:pPr>
              <w:jc w:val="center"/>
              <w:rPr>
                <w:sz w:val="14"/>
                <w:szCs w:val="14"/>
                <w:lang w:eastAsia="es-ES"/>
              </w:rPr>
            </w:pPr>
            <w:r w:rsidRPr="003B086D">
              <w:rPr>
                <w:sz w:val="14"/>
                <w:szCs w:val="14"/>
                <w:lang w:eastAsia="es-ES"/>
              </w:rPr>
              <w:t>4.2</w:t>
            </w:r>
            <w:r w:rsidR="00541985">
              <w:rPr>
                <w:sz w:val="14"/>
                <w:szCs w:val="14"/>
                <w:lang w:eastAsia="es-ES"/>
              </w:rPr>
              <w:t>65</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2D9EC" w14:textId="2BC7BAFC" w:rsidR="00653A2F" w:rsidRPr="003B086D" w:rsidRDefault="00653A2F" w:rsidP="003B086D">
            <w:pPr>
              <w:jc w:val="center"/>
              <w:rPr>
                <w:sz w:val="14"/>
                <w:szCs w:val="14"/>
                <w:lang w:eastAsia="es-ES"/>
              </w:rPr>
            </w:pPr>
            <w:r w:rsidRPr="003B086D">
              <w:rPr>
                <w:sz w:val="14"/>
                <w:szCs w:val="14"/>
                <w:lang w:eastAsia="es-ES"/>
              </w:rPr>
              <w:t>4.2</w:t>
            </w:r>
            <w:r w:rsidR="000136E0">
              <w:rPr>
                <w:sz w:val="14"/>
                <w:szCs w:val="14"/>
                <w:lang w:eastAsia="es-ES"/>
              </w:rPr>
              <w:t>84</w:t>
            </w:r>
          </w:p>
        </w:tc>
        <w:tc>
          <w:tcPr>
            <w:tcW w:w="631" w:type="dxa"/>
            <w:tcBorders>
              <w:top w:val="single" w:sz="4" w:space="0" w:color="auto"/>
              <w:left w:val="single" w:sz="4" w:space="0" w:color="auto"/>
              <w:bottom w:val="single" w:sz="4" w:space="0" w:color="auto"/>
              <w:right w:val="single" w:sz="4" w:space="0" w:color="auto"/>
            </w:tcBorders>
          </w:tcPr>
          <w:p w14:paraId="2AC1EC3D" w14:textId="77777777" w:rsidR="007D723B" w:rsidRDefault="007D723B" w:rsidP="003B086D">
            <w:pPr>
              <w:jc w:val="center"/>
              <w:rPr>
                <w:sz w:val="14"/>
                <w:szCs w:val="14"/>
                <w:lang w:eastAsia="es-ES"/>
              </w:rPr>
            </w:pPr>
          </w:p>
          <w:p w14:paraId="75836843" w14:textId="48456F0C" w:rsidR="00653A2F" w:rsidRPr="003B086D" w:rsidRDefault="007D723B" w:rsidP="003B086D">
            <w:pPr>
              <w:jc w:val="center"/>
              <w:rPr>
                <w:sz w:val="14"/>
                <w:szCs w:val="14"/>
                <w:lang w:eastAsia="es-ES"/>
              </w:rPr>
            </w:pPr>
            <w:r>
              <w:rPr>
                <w:sz w:val="14"/>
                <w:szCs w:val="14"/>
                <w:lang w:eastAsia="es-ES"/>
              </w:rPr>
              <w:t>4.286</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F1588" w14:textId="6B8557BA" w:rsidR="00653A2F" w:rsidRPr="003B086D" w:rsidRDefault="00653A2F" w:rsidP="003B086D">
            <w:pPr>
              <w:jc w:val="center"/>
              <w:rPr>
                <w:sz w:val="14"/>
                <w:szCs w:val="14"/>
                <w:lang w:eastAsia="es-ES"/>
              </w:rPr>
            </w:pPr>
          </w:p>
        </w:tc>
      </w:tr>
    </w:tbl>
    <w:p w14:paraId="6C99D9D4" w14:textId="5935C9A1" w:rsidR="00177491" w:rsidRPr="00EB6871" w:rsidRDefault="00177491" w:rsidP="00084399"/>
    <w:p w14:paraId="77A4D761" w14:textId="13ED2114" w:rsidR="00177491" w:rsidRPr="00EB6871" w:rsidRDefault="00177491" w:rsidP="00FA1E85">
      <w:pPr>
        <w:jc w:val="left"/>
      </w:pPr>
      <w:r w:rsidRPr="00EB6871">
        <w:t xml:space="preserve">A nivel metodológico, el presupuesto se elabora a partir de la consignación económica de las actividades recogidas en los planes operativos de los programas y áreas de </w:t>
      </w:r>
      <w:r w:rsidR="00E2382F">
        <w:t>MWCapital</w:t>
      </w:r>
      <w:r w:rsidRPr="00EB6871">
        <w:t>:</w:t>
      </w:r>
    </w:p>
    <w:p w14:paraId="2576F0A5" w14:textId="7B91AD70" w:rsidR="00177491" w:rsidRPr="00EB6871" w:rsidRDefault="00177491" w:rsidP="00FA1E85">
      <w:pPr>
        <w:pStyle w:val="Prrafodelista"/>
        <w:numPr>
          <w:ilvl w:val="0"/>
          <w:numId w:val="1"/>
        </w:numPr>
        <w:jc w:val="left"/>
      </w:pPr>
      <w:r w:rsidRPr="00EB6871">
        <w:t>Digital Future Society</w:t>
      </w:r>
    </w:p>
    <w:p w14:paraId="52B1BE4C" w14:textId="075A1E9B" w:rsidR="00177491" w:rsidRPr="00EB6871" w:rsidRDefault="00177491" w:rsidP="00FA1E85">
      <w:pPr>
        <w:pStyle w:val="Prrafodelista"/>
        <w:numPr>
          <w:ilvl w:val="0"/>
          <w:numId w:val="1"/>
        </w:numPr>
        <w:jc w:val="left"/>
      </w:pPr>
      <w:r w:rsidRPr="00EB6871">
        <w:t>Digital Talent</w:t>
      </w:r>
    </w:p>
    <w:p w14:paraId="75192115" w14:textId="58E46A23" w:rsidR="00177491" w:rsidRPr="00EB6871" w:rsidRDefault="00177491" w:rsidP="00FA1E85">
      <w:pPr>
        <w:pStyle w:val="Prrafodelista"/>
        <w:numPr>
          <w:ilvl w:val="0"/>
          <w:numId w:val="1"/>
        </w:numPr>
        <w:jc w:val="left"/>
      </w:pPr>
      <w:r w:rsidRPr="00EB6871">
        <w:t>Observatorio Nacional 5</w:t>
      </w:r>
      <w:r w:rsidR="00FD1DCD" w:rsidRPr="00EB6871">
        <w:t>G</w:t>
      </w:r>
    </w:p>
    <w:p w14:paraId="73BF8A31" w14:textId="5E41B6E1" w:rsidR="00177491" w:rsidRPr="00EB6871" w:rsidRDefault="00177491" w:rsidP="00FA1E85">
      <w:pPr>
        <w:pStyle w:val="Prrafodelista"/>
        <w:numPr>
          <w:ilvl w:val="0"/>
          <w:numId w:val="1"/>
        </w:numPr>
        <w:jc w:val="left"/>
      </w:pPr>
      <w:r w:rsidRPr="00EB6871">
        <w:t>5G Barcelona</w:t>
      </w:r>
    </w:p>
    <w:p w14:paraId="337C1014" w14:textId="652E486F" w:rsidR="00177491" w:rsidRPr="00EB6871" w:rsidRDefault="00177491" w:rsidP="00FA1E85">
      <w:pPr>
        <w:pStyle w:val="Prrafodelista"/>
        <w:numPr>
          <w:ilvl w:val="0"/>
          <w:numId w:val="1"/>
        </w:numPr>
        <w:jc w:val="left"/>
      </w:pPr>
      <w:r w:rsidRPr="00EB6871">
        <w:t>Marketing y Comunicación Corporativo (incluyen eventos como el MWC</w:t>
      </w:r>
      <w:r w:rsidR="00871C71">
        <w:t xml:space="preserve"> </w:t>
      </w:r>
      <w:r w:rsidRPr="00EB6871">
        <w:t>Barcelona 2020</w:t>
      </w:r>
      <w:r w:rsidR="00FD1DCD" w:rsidRPr="00EB6871">
        <w:t>)</w:t>
      </w:r>
    </w:p>
    <w:p w14:paraId="3D416DFE" w14:textId="2332D52F" w:rsidR="00177491" w:rsidRPr="00EB6871" w:rsidRDefault="0065362D" w:rsidP="00FA1E85">
      <w:pPr>
        <w:pStyle w:val="Prrafodelista"/>
        <w:numPr>
          <w:ilvl w:val="0"/>
          <w:numId w:val="1"/>
        </w:numPr>
        <w:jc w:val="left"/>
      </w:pPr>
      <w:r>
        <w:t>Proyectos Europeos</w:t>
      </w:r>
    </w:p>
    <w:p w14:paraId="122571CF" w14:textId="0BB1629C" w:rsidR="00177491" w:rsidRPr="00EB6871" w:rsidRDefault="00177491" w:rsidP="00FA1E85">
      <w:pPr>
        <w:pStyle w:val="Prrafodelista"/>
        <w:numPr>
          <w:ilvl w:val="0"/>
          <w:numId w:val="1"/>
        </w:numPr>
        <w:jc w:val="left"/>
      </w:pPr>
      <w:r w:rsidRPr="00EB6871">
        <w:t>Servicios Corporativos</w:t>
      </w:r>
    </w:p>
    <w:p w14:paraId="37B2AE23" w14:textId="1D775B78" w:rsidR="00177491" w:rsidRPr="00EB6871" w:rsidRDefault="00177491" w:rsidP="00FA1E85">
      <w:pPr>
        <w:jc w:val="left"/>
      </w:pPr>
      <w:r w:rsidRPr="00EB6871">
        <w:t xml:space="preserve">Referente a los ingresos, cabe destacar que, </w:t>
      </w:r>
      <w:r w:rsidR="00426CA7">
        <w:t>de</w:t>
      </w:r>
      <w:r w:rsidR="002560B1">
        <w:t xml:space="preserve"> los</w:t>
      </w:r>
      <w:r w:rsidR="00426CA7">
        <w:t xml:space="preserve"> </w:t>
      </w:r>
      <w:r w:rsidRPr="00EB6871">
        <w:t>1,</w:t>
      </w:r>
      <w:r w:rsidR="002560B1">
        <w:t>18</w:t>
      </w:r>
      <w:r w:rsidRPr="00EB6871">
        <w:t xml:space="preserve">M€ (en concepto de donación) únicamente </w:t>
      </w:r>
      <w:r w:rsidR="004D11F1">
        <w:t>2</w:t>
      </w:r>
      <w:r w:rsidRPr="00EB6871">
        <w:t xml:space="preserve">00 k€ que planteamos en el </w:t>
      </w:r>
      <w:r w:rsidRPr="006A0C91">
        <w:t>presupuesto</w:t>
      </w:r>
      <w:r w:rsidRPr="00EB6871">
        <w:t xml:space="preserve">, corren un riesgo de no materializarse. Estos ingresos dependen de que los Patronos actuales y nuevos patronos del sector privado quieran apostar por realizar donaciones y </w:t>
      </w:r>
      <w:r w:rsidRPr="00084399">
        <w:t>patrocinios</w:t>
      </w:r>
      <w:r w:rsidRPr="00EB6871">
        <w:t xml:space="preserve"> para alcanzar el objetivo de 1,</w:t>
      </w:r>
      <w:r w:rsidR="004D11F1">
        <w:t>18</w:t>
      </w:r>
      <w:r w:rsidRPr="00EB6871">
        <w:t xml:space="preserve"> M€ en 202</w:t>
      </w:r>
      <w:r w:rsidR="00B606E6">
        <w:t>2</w:t>
      </w:r>
      <w:r w:rsidRPr="00EB6871">
        <w:t xml:space="preserve">. </w:t>
      </w:r>
    </w:p>
    <w:p w14:paraId="165C0267" w14:textId="40E88DBD" w:rsidR="00177491" w:rsidRPr="00EB6871" w:rsidRDefault="00177491" w:rsidP="00FA1E85">
      <w:pPr>
        <w:jc w:val="left"/>
      </w:pPr>
      <w:r w:rsidRPr="00EB6871">
        <w:t>De esta manera, el total de ingresos para 202</w:t>
      </w:r>
      <w:r w:rsidR="00B606E6">
        <w:t>2</w:t>
      </w:r>
      <w:r w:rsidRPr="00EB6871">
        <w:t xml:space="preserve"> ascienden a </w:t>
      </w:r>
      <w:r w:rsidR="0040102A">
        <w:t>20.</w:t>
      </w:r>
      <w:r w:rsidR="00A921E0">
        <w:t>35</w:t>
      </w:r>
      <w:r w:rsidR="00BB7DE8">
        <w:t>3</w:t>
      </w:r>
      <w:r w:rsidRPr="00EB6871">
        <w:t xml:space="preserve"> k€, compuesto por </w:t>
      </w:r>
      <w:r w:rsidR="00BB7DE8">
        <w:t>18.011</w:t>
      </w:r>
      <w:r w:rsidRPr="00EB6871">
        <w:t xml:space="preserve"> k€ en concepto de subvenciones</w:t>
      </w:r>
      <w:r w:rsidR="00BB7DE8">
        <w:t>, donaciones y legados</w:t>
      </w:r>
      <w:r w:rsidR="00367E95">
        <w:t xml:space="preserve">, 162 </w:t>
      </w:r>
      <w:r w:rsidRPr="00EB6871">
        <w:t xml:space="preserve">k€ de ingresos en </w:t>
      </w:r>
      <w:r w:rsidR="00367E95">
        <w:t>prestación de servicio</w:t>
      </w:r>
      <w:r w:rsidR="00570055">
        <w:t xml:space="preserve">, 995 k€ promociones, patrocinadores y promociones, así como, </w:t>
      </w:r>
      <w:r w:rsidR="0096245D">
        <w:t xml:space="preserve"> 1.</w:t>
      </w:r>
      <w:r w:rsidR="00570055">
        <w:t>185</w:t>
      </w:r>
      <w:r w:rsidR="0096245D">
        <w:t xml:space="preserve"> k€ en concepto de </w:t>
      </w:r>
      <w:r w:rsidR="00570055">
        <w:t>donaciones y otros ingresos por la actividad.</w:t>
      </w:r>
    </w:p>
    <w:p w14:paraId="1A84565E" w14:textId="47D68A7E" w:rsidR="00177491" w:rsidRPr="00EB6871" w:rsidRDefault="00177491" w:rsidP="00FA1E85">
      <w:pPr>
        <w:jc w:val="left"/>
      </w:pPr>
      <w:r w:rsidRPr="00EB6871">
        <w:t>Por lo que refiere a los gastos, en 202</w:t>
      </w:r>
      <w:r w:rsidR="0040102A">
        <w:t>2</w:t>
      </w:r>
      <w:r w:rsidRPr="00EB6871">
        <w:t xml:space="preserve"> la Fundación destinará 9.500 k€ de los 15 M€ recibidos por las Administraciones Públicas al pago de la Contribución Anual (Annual Contribution), prevista en el Host City Parties Agreement y 4</w:t>
      </w:r>
      <w:r w:rsidR="0040102A">
        <w:t>81</w:t>
      </w:r>
      <w:r w:rsidRPr="00EB6871">
        <w:t xml:space="preserve"> k€ a sufragar actividades de soporte del </w:t>
      </w:r>
      <w:r w:rsidR="00C519A1">
        <w:t>MWC Barcelona.</w:t>
      </w:r>
      <w:r w:rsidR="00F7053F" w:rsidRPr="00EB6871">
        <w:t xml:space="preserve"> </w:t>
      </w:r>
    </w:p>
    <w:p w14:paraId="319F0860" w14:textId="2C1CF917" w:rsidR="00177491" w:rsidRPr="00EB6871" w:rsidRDefault="00177491" w:rsidP="00FA1E85">
      <w:pPr>
        <w:jc w:val="left"/>
      </w:pPr>
      <w:r w:rsidRPr="00EB6871">
        <w:t>Estas cantidades se incluyen en la partida de servicios profesionales independientes, dentro de los gastos de explotación</w:t>
      </w:r>
      <w:r w:rsidR="00E64AA3">
        <w:t xml:space="preserve"> y</w:t>
      </w:r>
      <w:r w:rsidRPr="00EB6871">
        <w:t xml:space="preserve"> representan un 7</w:t>
      </w:r>
      <w:r w:rsidR="00463067">
        <w:t>0</w:t>
      </w:r>
      <w:r w:rsidRPr="00EB6871">
        <w:t xml:space="preserve">% de los gastos totales de </w:t>
      </w:r>
      <w:r w:rsidR="00E64AA3">
        <w:t>M</w:t>
      </w:r>
      <w:r w:rsidR="002B6CC1">
        <w:t>W</w:t>
      </w:r>
      <w:r w:rsidR="00E64AA3">
        <w:t>Capital</w:t>
      </w:r>
      <w:r w:rsidRPr="00EB6871">
        <w:t xml:space="preserve"> para el año 202</w:t>
      </w:r>
      <w:r w:rsidR="00463067">
        <w:t>2.</w:t>
      </w:r>
    </w:p>
    <w:p w14:paraId="51C67FAD" w14:textId="465D777C" w:rsidR="00177491" w:rsidRPr="00EB6871" w:rsidRDefault="00177491" w:rsidP="00FA1E85">
      <w:pPr>
        <w:jc w:val="left"/>
      </w:pPr>
      <w:r w:rsidRPr="00EB6871">
        <w:t xml:space="preserve">Los costes de personal, incluyendo sueldos y salarios, así como contribuciones a la Seguridad Social, se sitúan en </w:t>
      </w:r>
      <w:r w:rsidR="00463067">
        <w:t>2.841</w:t>
      </w:r>
      <w:r w:rsidRPr="00EB6871">
        <w:t xml:space="preserve"> k€, cifra que representa aproximadamente el 1</w:t>
      </w:r>
      <w:r w:rsidR="006F2BBC">
        <w:t>4</w:t>
      </w:r>
      <w:r w:rsidRPr="00EB6871">
        <w:t xml:space="preserve">% sobre el total de gastos previstos en </w:t>
      </w:r>
      <w:r w:rsidR="00AE3F13">
        <w:t>MWCapital</w:t>
      </w:r>
      <w:r w:rsidRPr="00EB6871">
        <w:t xml:space="preserve"> para este ejercicio</w:t>
      </w:r>
      <w:r w:rsidR="00F86816" w:rsidRPr="00EB6871">
        <w:t xml:space="preserve"> y que </w:t>
      </w:r>
      <w:r w:rsidR="006F2BBC">
        <w:t>es inferior a años anteriores.</w:t>
      </w:r>
    </w:p>
    <w:p w14:paraId="5BF7575B" w14:textId="00A85A67" w:rsidR="00177491" w:rsidRPr="00EB6871" w:rsidRDefault="00177491" w:rsidP="00FA1E85">
      <w:pPr>
        <w:jc w:val="left"/>
      </w:pPr>
      <w:r w:rsidRPr="00EB6871">
        <w:t xml:space="preserve">En cuanto a inversiones, </w:t>
      </w:r>
      <w:r w:rsidR="00AE3F13">
        <w:t>MWCapital</w:t>
      </w:r>
      <w:r w:rsidRPr="00EB6871">
        <w:t xml:space="preserve"> únicamente prevé ejecutar presupuesto por esta vía por valor de </w:t>
      </w:r>
      <w:r w:rsidR="006F2BBC">
        <w:t>70</w:t>
      </w:r>
      <w:r w:rsidRPr="00EB6871">
        <w:t xml:space="preserve"> k€, correspondientes al mantenimiento del parque informático, compras de inmovilizado material</w:t>
      </w:r>
      <w:r w:rsidR="006F2BBC">
        <w:t>, así como de software.</w:t>
      </w:r>
    </w:p>
    <w:p w14:paraId="3ADF17C0" w14:textId="779D49F1" w:rsidR="00FD1DCD" w:rsidRPr="00EB6871" w:rsidRDefault="00177491" w:rsidP="00FA1E85">
      <w:pPr>
        <w:jc w:val="left"/>
      </w:pPr>
      <w:r w:rsidRPr="00EB6871">
        <w:t xml:space="preserve">La Cuenta de Resultados arroja un resultado positivo de </w:t>
      </w:r>
      <w:r w:rsidR="002F4E53">
        <w:t>2.146</w:t>
      </w:r>
      <w:r w:rsidRPr="00EB6871">
        <w:t xml:space="preserve"> € y el Balance de Situación presenta una situación patrimonial </w:t>
      </w:r>
      <w:r w:rsidR="002F4E53">
        <w:t>equilibrada</w:t>
      </w:r>
      <w:r w:rsidRPr="00EB6871">
        <w:t>. Además, la previsión d</w:t>
      </w:r>
      <w:r w:rsidR="0015678E" w:rsidRPr="00EB6871">
        <w:t xml:space="preserve">e tesorería </w:t>
      </w:r>
      <w:r w:rsidRPr="00EB6871">
        <w:t xml:space="preserve">asciende a </w:t>
      </w:r>
      <w:r w:rsidR="000E0AE6">
        <w:t>3.</w:t>
      </w:r>
      <w:r w:rsidR="00191E39">
        <w:t>885</w:t>
      </w:r>
      <w:r w:rsidRPr="00EB6871">
        <w:t xml:space="preserve"> k€ a previsión cierre del ejercicio 202</w:t>
      </w:r>
      <w:r w:rsidR="00CA5E20">
        <w:t>2</w:t>
      </w:r>
      <w:r w:rsidRPr="00EB6871">
        <w:t xml:space="preserve">. </w:t>
      </w:r>
      <w:r w:rsidR="006001A5" w:rsidRPr="00EB6871">
        <w:t xml:space="preserve">Este resultado incluye el pago </w:t>
      </w:r>
      <w:r w:rsidR="00CA34D6" w:rsidRPr="00EB6871">
        <w:t>de 1,5M€</w:t>
      </w:r>
      <w:r w:rsidR="00A46308" w:rsidRPr="00EB6871">
        <w:t xml:space="preserve"> </w:t>
      </w:r>
      <w:r w:rsidR="00191E39">
        <w:t xml:space="preserve">en el mes de enero, </w:t>
      </w:r>
      <w:r w:rsidR="00A46308" w:rsidRPr="00EB6871">
        <w:t>pendiente a GSMA</w:t>
      </w:r>
      <w:r w:rsidR="00D46C88" w:rsidRPr="00EB6871">
        <w:t xml:space="preserve"> </w:t>
      </w:r>
      <w:r w:rsidR="00580A75" w:rsidRPr="00EB6871">
        <w:t>relacionado con el Host City Parties Agreement 2012-2013.</w:t>
      </w:r>
    </w:p>
    <w:p w14:paraId="1C6D0CEF" w14:textId="400522C3" w:rsidR="00177491" w:rsidRPr="008A3A39" w:rsidRDefault="00FD1DCD" w:rsidP="00CA5E20">
      <w:r w:rsidRPr="00EB6871">
        <w:br w:type="page"/>
      </w:r>
      <w:r w:rsidR="00930A7C" w:rsidRPr="00F1717C">
        <w:rPr>
          <w:noProof/>
        </w:rPr>
        <w:lastRenderedPageBreak/>
        <mc:AlternateContent>
          <mc:Choice Requires="wps">
            <w:drawing>
              <wp:anchor distT="0" distB="0" distL="114300" distR="114300" simplePos="0" relativeHeight="251658244" behindDoc="0" locked="1" layoutInCell="1" allowOverlap="1" wp14:anchorId="35E24CAF" wp14:editId="6CF9C11C">
                <wp:simplePos x="0" y="0"/>
                <wp:positionH relativeFrom="margin">
                  <wp:align>left</wp:align>
                </wp:positionH>
                <wp:positionV relativeFrom="margin">
                  <wp:align>top</wp:align>
                </wp:positionV>
                <wp:extent cx="2200910" cy="297180"/>
                <wp:effectExtent l="0" t="0" r="8890" b="7620"/>
                <wp:wrapTopAndBottom/>
                <wp:docPr id="7" name="Cuadro de texto 7"/>
                <wp:cNvGraphicFramePr/>
                <a:graphic xmlns:a="http://schemas.openxmlformats.org/drawingml/2006/main">
                  <a:graphicData uri="http://schemas.microsoft.com/office/word/2010/wordprocessingShape">
                    <wps:wsp>
                      <wps:cNvSpPr txBox="1"/>
                      <wps:spPr>
                        <a:xfrm>
                          <a:off x="0" y="0"/>
                          <a:ext cx="2200910" cy="297180"/>
                        </a:xfrm>
                        <a:prstGeom prst="rect">
                          <a:avLst/>
                        </a:prstGeom>
                        <a:solidFill>
                          <a:srgbClr val="C00000"/>
                        </a:solidFill>
                        <a:ln w="6350">
                          <a:noFill/>
                        </a:ln>
                      </wps:spPr>
                      <wps:txbx>
                        <w:txbxContent>
                          <w:p w14:paraId="21C73B94" w14:textId="3F288B8E" w:rsidR="0065362D" w:rsidRDefault="0065362D" w:rsidP="00930A7C">
                            <w:pPr>
                              <w:pStyle w:val="Ttulo1"/>
                            </w:pPr>
                            <w:bookmarkStart w:id="7" w:name="_Toc85297115"/>
                            <w:r w:rsidRPr="00EB6871">
                              <w:t>CUENTA DE RESULTADOS</w:t>
                            </w:r>
                            <w:bookmarkEnd w:id="7"/>
                          </w:p>
                          <w:p w14:paraId="56484CD5" w14:textId="77777777" w:rsidR="0065362D" w:rsidRDefault="0065362D" w:rsidP="00930A7C"/>
                          <w:p w14:paraId="2EB8596D" w14:textId="474EECFE" w:rsidR="0065362D" w:rsidRPr="00F1717C" w:rsidRDefault="0065362D" w:rsidP="00930A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24CAF" id="Cuadro de texto 7" o:spid="_x0000_s1029" type="#_x0000_t202" style="position:absolute;left:0;text-align:left;margin-left:0;margin-top:0;width:173.3pt;height:23.4pt;z-index:2516582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" fillcolor="#c00000" stroked="f" strokeweight=".5pt">
                <v:textbox>
                  <w:txbxContent>
                    <w:p w14:paraId="21C73B94" w14:textId="3F288B8E" w:rsidR="0065362D" w:rsidRDefault="0065362D" w:rsidP="00930A7C">
                      <w:pPr>
                        <w:pStyle w:val="Ttulo1"/>
                      </w:pPr>
                      <w:bookmarkStart w:id="12" w:name="_Toc85297115"/>
                      <w:r w:rsidRPr="00EB6871">
                        <w:t>CUENTA DE RESULTADOS</w:t>
                      </w:r>
                      <w:bookmarkEnd w:id="12"/>
                    </w:p>
                    <w:p w14:paraId="56484CD5" w14:textId="77777777" w:rsidR="0065362D" w:rsidRDefault="0065362D" w:rsidP="00930A7C"/>
                    <w:p w14:paraId="2EB8596D" w14:textId="474EECFE" w:rsidR="0065362D" w:rsidRPr="00F1717C" w:rsidRDefault="0065362D" w:rsidP="00930A7C"/>
                  </w:txbxContent>
                </v:textbox>
                <w10:wrap type="topAndBottom" anchorx="margin" anchory="margin"/>
                <w10:anchorlock/>
              </v:shape>
            </w:pict>
          </mc:Fallback>
        </mc:AlternateContent>
      </w:r>
      <w:r w:rsidR="00177491" w:rsidRPr="008A3A39">
        <w:t>3.1. Presupuesto 202</w:t>
      </w:r>
      <w:r w:rsidR="00CA5E20">
        <w:t>2</w:t>
      </w:r>
    </w:p>
    <w:tbl>
      <w:tblPr>
        <w:tblW w:w="8792" w:type="dxa"/>
        <w:tblLayout w:type="fixed"/>
        <w:tblCellMar>
          <w:left w:w="70" w:type="dxa"/>
          <w:right w:w="70" w:type="dxa"/>
        </w:tblCellMar>
        <w:tblLook w:val="04A0" w:firstRow="1" w:lastRow="0" w:firstColumn="1" w:lastColumn="0" w:noHBand="0" w:noVBand="1"/>
      </w:tblPr>
      <w:tblGrid>
        <w:gridCol w:w="3496"/>
        <w:gridCol w:w="972"/>
        <w:gridCol w:w="1249"/>
        <w:gridCol w:w="1318"/>
        <w:gridCol w:w="1172"/>
        <w:gridCol w:w="585"/>
      </w:tblGrid>
      <w:tr w:rsidR="00337F47" w:rsidRPr="005805E3" w14:paraId="01C86D95" w14:textId="77777777" w:rsidTr="00E066D7">
        <w:trPr>
          <w:trHeight w:val="567"/>
        </w:trPr>
        <w:tc>
          <w:tcPr>
            <w:tcW w:w="3496" w:type="dxa"/>
            <w:tcBorders>
              <w:top w:val="nil"/>
              <w:left w:val="nil"/>
              <w:bottom w:val="nil"/>
              <w:right w:val="nil"/>
            </w:tcBorders>
            <w:shd w:val="clear" w:color="auto" w:fill="auto"/>
            <w:noWrap/>
            <w:vAlign w:val="center"/>
            <w:hideMark/>
          </w:tcPr>
          <w:p w14:paraId="78BA800A" w14:textId="77777777" w:rsidR="00337F47" w:rsidRPr="005805E3" w:rsidRDefault="00337F47" w:rsidP="00695E28">
            <w:pPr>
              <w:spacing w:after="0" w:line="240" w:lineRule="auto"/>
              <w:rPr>
                <w:rFonts w:ascii="Times New Roman" w:eastAsia="Times New Roman" w:hAnsi="Times New Roman" w:cs="Times New Roman"/>
                <w:sz w:val="14"/>
                <w:szCs w:val="14"/>
                <w:lang w:eastAsia="es-ES"/>
              </w:rPr>
            </w:pPr>
          </w:p>
        </w:tc>
        <w:tc>
          <w:tcPr>
            <w:tcW w:w="972" w:type="dxa"/>
            <w:tcBorders>
              <w:top w:val="nil"/>
              <w:left w:val="nil"/>
              <w:bottom w:val="nil"/>
              <w:right w:val="nil"/>
            </w:tcBorders>
            <w:shd w:val="clear" w:color="auto" w:fill="auto"/>
            <w:vAlign w:val="bottom"/>
            <w:hideMark/>
          </w:tcPr>
          <w:p w14:paraId="25CF0010" w14:textId="77777777" w:rsidR="00337F47" w:rsidRPr="005805E3" w:rsidRDefault="00337F47" w:rsidP="00695E28">
            <w:pPr>
              <w:spacing w:after="0" w:line="240" w:lineRule="auto"/>
              <w:rPr>
                <w:rFonts w:ascii="Times New Roman" w:eastAsia="Times New Roman" w:hAnsi="Times New Roman" w:cs="Times New Roman"/>
                <w:sz w:val="14"/>
                <w:szCs w:val="14"/>
                <w:lang w:eastAsia="es-ES"/>
              </w:rPr>
            </w:pPr>
          </w:p>
        </w:tc>
        <w:tc>
          <w:tcPr>
            <w:tcW w:w="1249" w:type="dxa"/>
            <w:tcBorders>
              <w:top w:val="nil"/>
              <w:left w:val="nil"/>
              <w:bottom w:val="nil"/>
              <w:right w:val="nil"/>
            </w:tcBorders>
            <w:shd w:val="clear" w:color="auto" w:fill="C00000"/>
            <w:vAlign w:val="center"/>
            <w:hideMark/>
          </w:tcPr>
          <w:p w14:paraId="1142262E" w14:textId="68224F38" w:rsidR="00337F47" w:rsidRPr="005805E3" w:rsidRDefault="00337F47" w:rsidP="00E066D7">
            <w:pPr>
              <w:spacing w:after="0" w:line="240" w:lineRule="auto"/>
              <w:jc w:val="center"/>
              <w:rPr>
                <w:rStyle w:val="nfasissutil"/>
                <w:sz w:val="14"/>
                <w:szCs w:val="14"/>
              </w:rPr>
            </w:pPr>
            <w:r w:rsidRPr="005805E3">
              <w:rPr>
                <w:rStyle w:val="nfasissutil"/>
                <w:sz w:val="14"/>
                <w:szCs w:val="14"/>
              </w:rPr>
              <w:t>Prev. Cierre 202</w:t>
            </w:r>
            <w:r w:rsidR="00405374">
              <w:rPr>
                <w:rStyle w:val="nfasissutil"/>
                <w:sz w:val="14"/>
                <w:szCs w:val="14"/>
              </w:rPr>
              <w:t>1</w:t>
            </w:r>
          </w:p>
        </w:tc>
        <w:tc>
          <w:tcPr>
            <w:tcW w:w="1318" w:type="dxa"/>
            <w:tcBorders>
              <w:top w:val="nil"/>
              <w:left w:val="nil"/>
              <w:bottom w:val="nil"/>
              <w:right w:val="nil"/>
            </w:tcBorders>
            <w:shd w:val="clear" w:color="auto" w:fill="C00000"/>
            <w:vAlign w:val="center"/>
            <w:hideMark/>
          </w:tcPr>
          <w:p w14:paraId="31BF6750" w14:textId="24280862" w:rsidR="00337F47" w:rsidRPr="005805E3" w:rsidRDefault="00337F47" w:rsidP="00E066D7">
            <w:pPr>
              <w:spacing w:after="0" w:line="240" w:lineRule="auto"/>
              <w:jc w:val="center"/>
              <w:rPr>
                <w:rStyle w:val="nfasissutil"/>
                <w:sz w:val="14"/>
                <w:szCs w:val="14"/>
              </w:rPr>
            </w:pPr>
            <w:r w:rsidRPr="005805E3">
              <w:rPr>
                <w:rStyle w:val="nfasissutil"/>
                <w:sz w:val="14"/>
                <w:szCs w:val="14"/>
              </w:rPr>
              <w:t>Presupuesto 202</w:t>
            </w:r>
            <w:r w:rsidR="00405374">
              <w:rPr>
                <w:rStyle w:val="nfasissutil"/>
                <w:sz w:val="14"/>
                <w:szCs w:val="14"/>
              </w:rPr>
              <w:t>2</w:t>
            </w:r>
          </w:p>
        </w:tc>
        <w:tc>
          <w:tcPr>
            <w:tcW w:w="1172" w:type="dxa"/>
            <w:tcBorders>
              <w:top w:val="nil"/>
              <w:left w:val="nil"/>
              <w:bottom w:val="nil"/>
              <w:right w:val="nil"/>
            </w:tcBorders>
            <w:shd w:val="clear" w:color="auto" w:fill="C00000"/>
            <w:vAlign w:val="center"/>
            <w:hideMark/>
          </w:tcPr>
          <w:p w14:paraId="16EB2F2C" w14:textId="77777777" w:rsidR="00337F47" w:rsidRPr="005805E3" w:rsidRDefault="00337F47" w:rsidP="00E066D7">
            <w:pPr>
              <w:spacing w:after="0" w:line="240" w:lineRule="auto"/>
              <w:jc w:val="center"/>
              <w:rPr>
                <w:rStyle w:val="nfasissutil"/>
                <w:sz w:val="14"/>
                <w:szCs w:val="14"/>
              </w:rPr>
            </w:pPr>
            <w:r w:rsidRPr="005805E3">
              <w:rPr>
                <w:rStyle w:val="nfasissutil"/>
                <w:sz w:val="14"/>
                <w:szCs w:val="14"/>
              </w:rPr>
              <w:t>Diferencia</w:t>
            </w:r>
          </w:p>
        </w:tc>
        <w:tc>
          <w:tcPr>
            <w:tcW w:w="585" w:type="dxa"/>
            <w:tcBorders>
              <w:top w:val="nil"/>
              <w:left w:val="nil"/>
              <w:bottom w:val="nil"/>
              <w:right w:val="nil"/>
            </w:tcBorders>
            <w:shd w:val="clear" w:color="auto" w:fill="C00000"/>
            <w:vAlign w:val="center"/>
            <w:hideMark/>
          </w:tcPr>
          <w:p w14:paraId="577D6CEC" w14:textId="16701666" w:rsidR="00337F47" w:rsidRPr="005805E3" w:rsidRDefault="00337F47" w:rsidP="00E066D7">
            <w:pPr>
              <w:spacing w:after="0" w:line="240" w:lineRule="auto"/>
              <w:jc w:val="center"/>
              <w:rPr>
                <w:rStyle w:val="nfasissutil"/>
                <w:sz w:val="14"/>
                <w:szCs w:val="14"/>
              </w:rPr>
            </w:pPr>
            <w:r w:rsidRPr="005805E3">
              <w:rPr>
                <w:rStyle w:val="nfasissutil"/>
                <w:sz w:val="14"/>
                <w:szCs w:val="14"/>
              </w:rPr>
              <w:t>%</w:t>
            </w:r>
          </w:p>
        </w:tc>
      </w:tr>
      <w:tr w:rsidR="00337F47" w:rsidRPr="005805E3" w14:paraId="4BE3F660" w14:textId="77777777" w:rsidTr="00E066D7">
        <w:trPr>
          <w:trHeight w:val="332"/>
        </w:trPr>
        <w:tc>
          <w:tcPr>
            <w:tcW w:w="3496" w:type="dxa"/>
            <w:tcBorders>
              <w:top w:val="nil"/>
              <w:left w:val="nil"/>
              <w:bottom w:val="nil"/>
              <w:right w:val="nil"/>
            </w:tcBorders>
            <w:shd w:val="clear" w:color="000000" w:fill="BFBFBF"/>
            <w:noWrap/>
            <w:vAlign w:val="bottom"/>
            <w:hideMark/>
          </w:tcPr>
          <w:p w14:paraId="0120AA6D" w14:textId="77777777" w:rsidR="00337F47" w:rsidRPr="005805E3" w:rsidRDefault="00337F47" w:rsidP="00695E28">
            <w:pPr>
              <w:spacing w:after="0" w:line="240" w:lineRule="auto"/>
              <w:rPr>
                <w:rFonts w:eastAsia="Times New Roman" w:cs="Calibri"/>
                <w:b/>
                <w:bCs/>
                <w:color w:val="000000"/>
                <w:sz w:val="14"/>
                <w:szCs w:val="14"/>
                <w:lang w:eastAsia="es-ES"/>
              </w:rPr>
            </w:pPr>
            <w:r w:rsidRPr="005805E3">
              <w:rPr>
                <w:rFonts w:eastAsia="Times New Roman" w:cs="Calibri"/>
                <w:b/>
                <w:bCs/>
                <w:color w:val="000000"/>
                <w:sz w:val="14"/>
                <w:szCs w:val="14"/>
                <w:lang w:eastAsia="es-ES"/>
              </w:rPr>
              <w:t xml:space="preserve"> Ingresos por las actividades </w:t>
            </w:r>
          </w:p>
        </w:tc>
        <w:tc>
          <w:tcPr>
            <w:tcW w:w="972" w:type="dxa"/>
            <w:tcBorders>
              <w:top w:val="nil"/>
              <w:left w:val="nil"/>
              <w:bottom w:val="nil"/>
              <w:right w:val="nil"/>
            </w:tcBorders>
            <w:shd w:val="clear" w:color="000000" w:fill="BFBFBF"/>
            <w:noWrap/>
            <w:vAlign w:val="bottom"/>
            <w:hideMark/>
          </w:tcPr>
          <w:p w14:paraId="5D36BB0A" w14:textId="77777777" w:rsidR="00337F47" w:rsidRPr="005805E3" w:rsidRDefault="00337F47" w:rsidP="00695E28">
            <w:pPr>
              <w:spacing w:after="0" w:line="240" w:lineRule="auto"/>
              <w:rPr>
                <w:rFonts w:eastAsia="Times New Roman" w:cs="Calibri"/>
                <w:b/>
                <w:bCs/>
                <w:color w:val="000000"/>
                <w:sz w:val="14"/>
                <w:szCs w:val="14"/>
                <w:lang w:eastAsia="es-ES"/>
              </w:rPr>
            </w:pPr>
            <w:r w:rsidRPr="005805E3">
              <w:rPr>
                <w:rFonts w:eastAsia="Times New Roman" w:cs="Calibri"/>
                <w:b/>
                <w:bCs/>
                <w:color w:val="000000"/>
                <w:sz w:val="14"/>
                <w:szCs w:val="14"/>
                <w:lang w:eastAsia="es-ES"/>
              </w:rPr>
              <w:t> </w:t>
            </w:r>
          </w:p>
        </w:tc>
        <w:tc>
          <w:tcPr>
            <w:tcW w:w="1249" w:type="dxa"/>
            <w:tcBorders>
              <w:top w:val="nil"/>
              <w:left w:val="nil"/>
              <w:bottom w:val="nil"/>
              <w:right w:val="nil"/>
            </w:tcBorders>
            <w:shd w:val="clear" w:color="000000" w:fill="BFBFBF"/>
            <w:noWrap/>
            <w:vAlign w:val="bottom"/>
            <w:hideMark/>
          </w:tcPr>
          <w:p w14:paraId="17B25C40" w14:textId="037CC8E5" w:rsidR="00337F47" w:rsidRPr="005805E3" w:rsidRDefault="00337F47" w:rsidP="00E066D7">
            <w:pPr>
              <w:spacing w:after="0" w:line="240" w:lineRule="auto"/>
              <w:jc w:val="center"/>
              <w:rPr>
                <w:rFonts w:eastAsia="Times New Roman" w:cs="Calibri"/>
                <w:b/>
                <w:bCs/>
                <w:color w:val="000000"/>
                <w:sz w:val="14"/>
                <w:szCs w:val="14"/>
                <w:lang w:eastAsia="es-ES"/>
              </w:rPr>
            </w:pPr>
            <w:r w:rsidRPr="005805E3">
              <w:rPr>
                <w:rFonts w:eastAsia="Times New Roman" w:cs="Calibri"/>
                <w:b/>
                <w:bCs/>
                <w:color w:val="000000"/>
                <w:sz w:val="14"/>
                <w:szCs w:val="14"/>
                <w:lang w:eastAsia="es-ES"/>
              </w:rPr>
              <w:t>18.</w:t>
            </w:r>
            <w:r w:rsidR="0085784D">
              <w:rPr>
                <w:rFonts w:eastAsia="Times New Roman" w:cs="Calibri"/>
                <w:b/>
                <w:bCs/>
                <w:color w:val="000000"/>
                <w:sz w:val="14"/>
                <w:szCs w:val="14"/>
                <w:lang w:eastAsia="es-ES"/>
              </w:rPr>
              <w:t>186.854</w:t>
            </w:r>
          </w:p>
        </w:tc>
        <w:tc>
          <w:tcPr>
            <w:tcW w:w="1318" w:type="dxa"/>
            <w:tcBorders>
              <w:top w:val="nil"/>
              <w:left w:val="nil"/>
              <w:bottom w:val="nil"/>
              <w:right w:val="nil"/>
            </w:tcBorders>
            <w:shd w:val="clear" w:color="000000" w:fill="BFBFBF"/>
            <w:noWrap/>
            <w:vAlign w:val="bottom"/>
            <w:hideMark/>
          </w:tcPr>
          <w:p w14:paraId="3089C005" w14:textId="3ABC1AF7" w:rsidR="00337F47" w:rsidRPr="005805E3" w:rsidRDefault="00A435AA" w:rsidP="00E066D7">
            <w:pPr>
              <w:spacing w:after="0" w:line="240" w:lineRule="auto"/>
              <w:jc w:val="center"/>
              <w:rPr>
                <w:rFonts w:eastAsia="Times New Roman" w:cs="Calibri"/>
                <w:b/>
                <w:bCs/>
                <w:color w:val="000000"/>
                <w:sz w:val="14"/>
                <w:szCs w:val="14"/>
                <w:lang w:eastAsia="es-ES"/>
              </w:rPr>
            </w:pPr>
            <w:r>
              <w:rPr>
                <w:rFonts w:eastAsia="Times New Roman" w:cs="Calibri"/>
                <w:b/>
                <w:bCs/>
                <w:color w:val="000000"/>
                <w:sz w:val="14"/>
                <w:szCs w:val="14"/>
                <w:lang w:eastAsia="es-ES"/>
              </w:rPr>
              <w:t>20.</w:t>
            </w:r>
            <w:r w:rsidR="00602328">
              <w:rPr>
                <w:rFonts w:eastAsia="Times New Roman" w:cs="Calibri"/>
                <w:b/>
                <w:bCs/>
                <w:color w:val="000000"/>
                <w:sz w:val="14"/>
                <w:szCs w:val="14"/>
                <w:lang w:eastAsia="es-ES"/>
              </w:rPr>
              <w:t>3</w:t>
            </w:r>
            <w:r>
              <w:rPr>
                <w:rFonts w:eastAsia="Times New Roman" w:cs="Calibri"/>
                <w:b/>
                <w:bCs/>
                <w:color w:val="000000"/>
                <w:sz w:val="14"/>
                <w:szCs w:val="14"/>
                <w:lang w:eastAsia="es-ES"/>
              </w:rPr>
              <w:t>52.765</w:t>
            </w:r>
          </w:p>
        </w:tc>
        <w:tc>
          <w:tcPr>
            <w:tcW w:w="1172" w:type="dxa"/>
            <w:tcBorders>
              <w:top w:val="nil"/>
              <w:left w:val="nil"/>
              <w:bottom w:val="nil"/>
              <w:right w:val="nil"/>
            </w:tcBorders>
            <w:shd w:val="clear" w:color="000000" w:fill="BFBFBF"/>
            <w:noWrap/>
            <w:vAlign w:val="bottom"/>
            <w:hideMark/>
          </w:tcPr>
          <w:p w14:paraId="2F983F35" w14:textId="64D6639E" w:rsidR="00337F47" w:rsidRPr="005805E3" w:rsidRDefault="00A435AA" w:rsidP="00E066D7">
            <w:pPr>
              <w:spacing w:after="0" w:line="240" w:lineRule="auto"/>
              <w:jc w:val="center"/>
              <w:rPr>
                <w:rFonts w:eastAsia="Times New Roman" w:cs="Calibri"/>
                <w:b/>
                <w:bCs/>
                <w:color w:val="000000"/>
                <w:sz w:val="14"/>
                <w:szCs w:val="14"/>
                <w:lang w:eastAsia="es-ES"/>
              </w:rPr>
            </w:pPr>
            <w:r>
              <w:rPr>
                <w:rFonts w:eastAsia="Times New Roman" w:cs="Calibri"/>
                <w:b/>
                <w:bCs/>
                <w:color w:val="000000"/>
                <w:sz w:val="14"/>
                <w:szCs w:val="14"/>
                <w:lang w:eastAsia="es-ES"/>
              </w:rPr>
              <w:t>2.</w:t>
            </w:r>
            <w:r w:rsidR="00602328">
              <w:rPr>
                <w:rFonts w:eastAsia="Times New Roman" w:cs="Calibri"/>
                <w:b/>
                <w:bCs/>
                <w:color w:val="000000"/>
                <w:sz w:val="14"/>
                <w:szCs w:val="14"/>
                <w:lang w:eastAsia="es-ES"/>
              </w:rPr>
              <w:t>165</w:t>
            </w:r>
            <w:r>
              <w:rPr>
                <w:rFonts w:eastAsia="Times New Roman" w:cs="Calibri"/>
                <w:b/>
                <w:bCs/>
                <w:color w:val="000000"/>
                <w:sz w:val="14"/>
                <w:szCs w:val="14"/>
                <w:lang w:eastAsia="es-ES"/>
              </w:rPr>
              <w:t>.</w:t>
            </w:r>
            <w:r w:rsidR="00602328">
              <w:rPr>
                <w:rFonts w:eastAsia="Times New Roman" w:cs="Calibri"/>
                <w:b/>
                <w:bCs/>
                <w:color w:val="000000"/>
                <w:sz w:val="14"/>
                <w:szCs w:val="14"/>
                <w:lang w:eastAsia="es-ES"/>
              </w:rPr>
              <w:t>9</w:t>
            </w:r>
            <w:r>
              <w:rPr>
                <w:rFonts w:eastAsia="Times New Roman" w:cs="Calibri"/>
                <w:b/>
                <w:bCs/>
                <w:color w:val="000000"/>
                <w:sz w:val="14"/>
                <w:szCs w:val="14"/>
                <w:lang w:eastAsia="es-ES"/>
              </w:rPr>
              <w:t>11</w:t>
            </w:r>
          </w:p>
        </w:tc>
        <w:tc>
          <w:tcPr>
            <w:tcW w:w="585" w:type="dxa"/>
            <w:tcBorders>
              <w:top w:val="nil"/>
              <w:left w:val="nil"/>
              <w:bottom w:val="nil"/>
              <w:right w:val="nil"/>
            </w:tcBorders>
            <w:shd w:val="clear" w:color="000000" w:fill="BFBFBF"/>
            <w:noWrap/>
            <w:vAlign w:val="bottom"/>
            <w:hideMark/>
          </w:tcPr>
          <w:p w14:paraId="7EBDA15A" w14:textId="352B8C2F" w:rsidR="00337F47" w:rsidRPr="005805E3" w:rsidRDefault="00337F47" w:rsidP="00E066D7">
            <w:pPr>
              <w:spacing w:after="0" w:line="240" w:lineRule="auto"/>
              <w:jc w:val="center"/>
              <w:rPr>
                <w:rFonts w:eastAsia="Times New Roman" w:cs="Calibri"/>
                <w:b/>
                <w:bCs/>
                <w:color w:val="000000"/>
                <w:sz w:val="14"/>
                <w:szCs w:val="14"/>
                <w:lang w:eastAsia="es-ES"/>
              </w:rPr>
            </w:pPr>
            <w:r w:rsidRPr="005805E3">
              <w:rPr>
                <w:rFonts w:eastAsia="Times New Roman" w:cs="Calibri"/>
                <w:b/>
                <w:bCs/>
                <w:color w:val="000000"/>
                <w:sz w:val="14"/>
                <w:szCs w:val="14"/>
                <w:lang w:eastAsia="es-ES"/>
              </w:rPr>
              <w:t>1</w:t>
            </w:r>
            <w:r w:rsidR="00602328">
              <w:rPr>
                <w:rFonts w:eastAsia="Times New Roman" w:cs="Calibri"/>
                <w:b/>
                <w:bCs/>
                <w:color w:val="000000"/>
                <w:sz w:val="14"/>
                <w:szCs w:val="14"/>
                <w:lang w:eastAsia="es-ES"/>
              </w:rPr>
              <w:t>2</w:t>
            </w:r>
            <w:r w:rsidRPr="005805E3">
              <w:rPr>
                <w:rFonts w:eastAsia="Times New Roman" w:cs="Calibri"/>
                <w:b/>
                <w:bCs/>
                <w:color w:val="000000"/>
                <w:sz w:val="14"/>
                <w:szCs w:val="14"/>
                <w:lang w:eastAsia="es-ES"/>
              </w:rPr>
              <w:t>%</w:t>
            </w:r>
          </w:p>
        </w:tc>
      </w:tr>
      <w:tr w:rsidR="00337F47" w:rsidRPr="005805E3" w14:paraId="722D3817" w14:textId="77777777" w:rsidTr="00E066D7">
        <w:trPr>
          <w:trHeight w:val="332"/>
        </w:trPr>
        <w:tc>
          <w:tcPr>
            <w:tcW w:w="3496" w:type="dxa"/>
            <w:tcBorders>
              <w:top w:val="nil"/>
              <w:left w:val="nil"/>
              <w:bottom w:val="nil"/>
              <w:right w:val="nil"/>
            </w:tcBorders>
            <w:shd w:val="clear" w:color="auto" w:fill="auto"/>
            <w:noWrap/>
            <w:vAlign w:val="bottom"/>
            <w:hideMark/>
          </w:tcPr>
          <w:p w14:paraId="036FA44F" w14:textId="77777777" w:rsidR="00337F47" w:rsidRPr="005805E3" w:rsidRDefault="00337F47" w:rsidP="00695E28">
            <w:pPr>
              <w:spacing w:after="0" w:line="240" w:lineRule="auto"/>
              <w:rPr>
                <w:rFonts w:eastAsia="Times New Roman" w:cs="Calibri"/>
                <w:color w:val="000000"/>
                <w:sz w:val="14"/>
                <w:szCs w:val="14"/>
                <w:lang w:eastAsia="es-ES"/>
              </w:rPr>
            </w:pPr>
            <w:r w:rsidRPr="005805E3">
              <w:rPr>
                <w:rFonts w:eastAsia="Times New Roman" w:cs="Calibri"/>
                <w:color w:val="000000"/>
                <w:sz w:val="14"/>
                <w:szCs w:val="14"/>
                <w:lang w:eastAsia="es-ES"/>
              </w:rPr>
              <w:t xml:space="preserve">Prestación de servicios, promociones, patrocinadores </w:t>
            </w:r>
          </w:p>
        </w:tc>
        <w:tc>
          <w:tcPr>
            <w:tcW w:w="972" w:type="dxa"/>
            <w:tcBorders>
              <w:top w:val="nil"/>
              <w:left w:val="nil"/>
              <w:bottom w:val="nil"/>
              <w:right w:val="nil"/>
            </w:tcBorders>
            <w:shd w:val="clear" w:color="auto" w:fill="auto"/>
            <w:noWrap/>
            <w:vAlign w:val="center"/>
            <w:hideMark/>
          </w:tcPr>
          <w:p w14:paraId="6CFF1F99" w14:textId="77777777" w:rsidR="00337F47" w:rsidRPr="005805E3" w:rsidRDefault="00337F47" w:rsidP="00695E28">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705</w:t>
            </w:r>
          </w:p>
        </w:tc>
        <w:tc>
          <w:tcPr>
            <w:tcW w:w="1249" w:type="dxa"/>
            <w:tcBorders>
              <w:top w:val="nil"/>
              <w:left w:val="nil"/>
              <w:bottom w:val="nil"/>
              <w:right w:val="nil"/>
            </w:tcBorders>
            <w:shd w:val="clear" w:color="auto" w:fill="auto"/>
            <w:noWrap/>
            <w:vAlign w:val="bottom"/>
            <w:hideMark/>
          </w:tcPr>
          <w:p w14:paraId="126C1391" w14:textId="462A21F8" w:rsidR="00337F47" w:rsidRPr="005805E3" w:rsidRDefault="0085784D" w:rsidP="00E066D7">
            <w:pPr>
              <w:spacing w:after="0" w:line="240" w:lineRule="auto"/>
              <w:jc w:val="center"/>
              <w:rPr>
                <w:rFonts w:eastAsia="Times New Roman" w:cs="Calibri"/>
                <w:sz w:val="14"/>
                <w:szCs w:val="14"/>
                <w:lang w:eastAsia="es-ES"/>
              </w:rPr>
            </w:pPr>
            <w:r>
              <w:rPr>
                <w:rFonts w:eastAsia="Times New Roman" w:cs="Calibri"/>
                <w:sz w:val="14"/>
                <w:szCs w:val="14"/>
                <w:lang w:eastAsia="es-ES"/>
              </w:rPr>
              <w:t>136.375</w:t>
            </w:r>
          </w:p>
        </w:tc>
        <w:tc>
          <w:tcPr>
            <w:tcW w:w="1318" w:type="dxa"/>
            <w:tcBorders>
              <w:top w:val="nil"/>
              <w:left w:val="nil"/>
              <w:bottom w:val="nil"/>
              <w:right w:val="nil"/>
            </w:tcBorders>
            <w:shd w:val="clear" w:color="auto" w:fill="auto"/>
            <w:noWrap/>
            <w:vAlign w:val="bottom"/>
            <w:hideMark/>
          </w:tcPr>
          <w:p w14:paraId="57375334" w14:textId="5AAD276B" w:rsidR="00337F47" w:rsidRPr="005805E3" w:rsidRDefault="0085784D" w:rsidP="00E066D7">
            <w:pPr>
              <w:spacing w:after="0" w:line="240" w:lineRule="auto"/>
              <w:jc w:val="center"/>
              <w:rPr>
                <w:rFonts w:eastAsia="Times New Roman" w:cs="Calibri"/>
                <w:sz w:val="14"/>
                <w:szCs w:val="14"/>
                <w:lang w:eastAsia="es-ES"/>
              </w:rPr>
            </w:pPr>
            <w:r>
              <w:rPr>
                <w:rFonts w:eastAsia="Times New Roman" w:cs="Calibri"/>
                <w:sz w:val="14"/>
                <w:szCs w:val="14"/>
                <w:lang w:eastAsia="es-ES"/>
              </w:rPr>
              <w:t>161.719</w:t>
            </w:r>
          </w:p>
        </w:tc>
        <w:tc>
          <w:tcPr>
            <w:tcW w:w="1172" w:type="dxa"/>
            <w:tcBorders>
              <w:top w:val="nil"/>
              <w:left w:val="nil"/>
              <w:bottom w:val="nil"/>
              <w:right w:val="nil"/>
            </w:tcBorders>
            <w:shd w:val="clear" w:color="000000" w:fill="FFFFFF"/>
            <w:noWrap/>
            <w:vAlign w:val="bottom"/>
            <w:hideMark/>
          </w:tcPr>
          <w:p w14:paraId="007FCE35" w14:textId="0D51C26C" w:rsidR="00337F47" w:rsidRPr="005805E3" w:rsidRDefault="00337F47" w:rsidP="00E066D7">
            <w:pPr>
              <w:spacing w:after="0" w:line="240" w:lineRule="auto"/>
              <w:jc w:val="center"/>
              <w:rPr>
                <w:rFonts w:eastAsia="Times New Roman" w:cs="Calibri"/>
                <w:color w:val="000000"/>
                <w:sz w:val="14"/>
                <w:szCs w:val="14"/>
                <w:lang w:eastAsia="es-ES"/>
              </w:rPr>
            </w:pPr>
            <w:r w:rsidRPr="005805E3">
              <w:rPr>
                <w:rFonts w:eastAsia="Times New Roman" w:cs="Calibri"/>
                <w:color w:val="000000"/>
                <w:sz w:val="14"/>
                <w:szCs w:val="14"/>
                <w:lang w:eastAsia="es-ES"/>
              </w:rPr>
              <w:t>(</w:t>
            </w:r>
            <w:r w:rsidR="0085784D">
              <w:rPr>
                <w:rFonts w:eastAsia="Times New Roman" w:cs="Calibri"/>
                <w:color w:val="000000"/>
                <w:sz w:val="14"/>
                <w:szCs w:val="14"/>
                <w:lang w:eastAsia="es-ES"/>
              </w:rPr>
              <w:t>25.344)</w:t>
            </w:r>
          </w:p>
        </w:tc>
        <w:tc>
          <w:tcPr>
            <w:tcW w:w="585" w:type="dxa"/>
            <w:tcBorders>
              <w:top w:val="nil"/>
              <w:left w:val="nil"/>
              <w:bottom w:val="nil"/>
              <w:right w:val="nil"/>
            </w:tcBorders>
            <w:shd w:val="clear" w:color="000000" w:fill="FFFFFF"/>
            <w:noWrap/>
            <w:vAlign w:val="bottom"/>
            <w:hideMark/>
          </w:tcPr>
          <w:p w14:paraId="42167256" w14:textId="48E31933" w:rsidR="00337F47" w:rsidRPr="005805E3" w:rsidRDefault="0085784D" w:rsidP="00E066D7">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19</w:t>
            </w:r>
            <w:r w:rsidR="00337F47" w:rsidRPr="005805E3">
              <w:rPr>
                <w:rFonts w:eastAsia="Times New Roman" w:cs="Calibri"/>
                <w:color w:val="000000"/>
                <w:sz w:val="14"/>
                <w:szCs w:val="14"/>
                <w:lang w:eastAsia="es-ES"/>
              </w:rPr>
              <w:t>%</w:t>
            </w:r>
          </w:p>
        </w:tc>
      </w:tr>
      <w:tr w:rsidR="00337F47" w:rsidRPr="005805E3" w14:paraId="3D4D901E" w14:textId="77777777" w:rsidTr="00E066D7">
        <w:trPr>
          <w:trHeight w:val="332"/>
        </w:trPr>
        <w:tc>
          <w:tcPr>
            <w:tcW w:w="3496" w:type="dxa"/>
            <w:tcBorders>
              <w:top w:val="nil"/>
              <w:left w:val="nil"/>
              <w:bottom w:val="nil"/>
              <w:right w:val="nil"/>
            </w:tcBorders>
            <w:shd w:val="clear" w:color="auto" w:fill="auto"/>
            <w:noWrap/>
            <w:vAlign w:val="bottom"/>
            <w:hideMark/>
          </w:tcPr>
          <w:p w14:paraId="4BCDB068" w14:textId="271CF885" w:rsidR="00337F47" w:rsidRPr="005805E3" w:rsidRDefault="00337F47" w:rsidP="00695E28">
            <w:pPr>
              <w:spacing w:after="0" w:line="240" w:lineRule="auto"/>
              <w:rPr>
                <w:rFonts w:eastAsia="Times New Roman" w:cs="Calibri"/>
                <w:color w:val="000000"/>
                <w:sz w:val="14"/>
                <w:szCs w:val="14"/>
                <w:lang w:eastAsia="es-ES"/>
              </w:rPr>
            </w:pPr>
            <w:r w:rsidRPr="005805E3">
              <w:rPr>
                <w:rFonts w:eastAsia="Times New Roman" w:cs="Calibri"/>
                <w:color w:val="000000"/>
                <w:sz w:val="14"/>
                <w:szCs w:val="14"/>
                <w:lang w:eastAsia="es-ES"/>
              </w:rPr>
              <w:t xml:space="preserve">Ingresos de promociones, patrocinadores </w:t>
            </w:r>
            <w:r w:rsidR="005805E3" w:rsidRPr="005805E3">
              <w:rPr>
                <w:rFonts w:eastAsia="Times New Roman" w:cs="Calibri"/>
                <w:color w:val="000000"/>
                <w:sz w:val="14"/>
                <w:szCs w:val="14"/>
                <w:lang w:eastAsia="es-ES"/>
              </w:rPr>
              <w:t>y</w:t>
            </w:r>
            <w:r w:rsidRPr="005805E3">
              <w:rPr>
                <w:rFonts w:eastAsia="Times New Roman" w:cs="Calibri"/>
                <w:color w:val="000000"/>
                <w:sz w:val="14"/>
                <w:szCs w:val="14"/>
                <w:lang w:eastAsia="es-ES"/>
              </w:rPr>
              <w:t xml:space="preserve"> colaboraciones</w:t>
            </w:r>
          </w:p>
        </w:tc>
        <w:tc>
          <w:tcPr>
            <w:tcW w:w="972" w:type="dxa"/>
            <w:tcBorders>
              <w:top w:val="nil"/>
              <w:left w:val="nil"/>
              <w:bottom w:val="nil"/>
              <w:right w:val="nil"/>
            </w:tcBorders>
            <w:shd w:val="clear" w:color="auto" w:fill="auto"/>
            <w:noWrap/>
            <w:vAlign w:val="center"/>
            <w:hideMark/>
          </w:tcPr>
          <w:p w14:paraId="2CF56EE8" w14:textId="77777777" w:rsidR="00337F47" w:rsidRPr="005805E3" w:rsidRDefault="00337F47" w:rsidP="00695E28">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723</w:t>
            </w:r>
          </w:p>
        </w:tc>
        <w:tc>
          <w:tcPr>
            <w:tcW w:w="1249" w:type="dxa"/>
            <w:tcBorders>
              <w:top w:val="nil"/>
              <w:left w:val="nil"/>
              <w:bottom w:val="nil"/>
              <w:right w:val="nil"/>
            </w:tcBorders>
            <w:shd w:val="clear" w:color="auto" w:fill="auto"/>
            <w:noWrap/>
            <w:vAlign w:val="bottom"/>
            <w:hideMark/>
          </w:tcPr>
          <w:p w14:paraId="5EAC8E0D" w14:textId="6F097263" w:rsidR="00337F47" w:rsidRPr="005805E3" w:rsidRDefault="00E60944" w:rsidP="00E066D7">
            <w:pPr>
              <w:spacing w:after="0" w:line="240" w:lineRule="auto"/>
              <w:jc w:val="center"/>
              <w:rPr>
                <w:rFonts w:eastAsia="Times New Roman" w:cs="Calibri"/>
                <w:sz w:val="14"/>
                <w:szCs w:val="14"/>
                <w:lang w:eastAsia="es-ES"/>
              </w:rPr>
            </w:pPr>
            <w:r>
              <w:rPr>
                <w:rFonts w:eastAsia="Times New Roman" w:cs="Calibri"/>
                <w:sz w:val="14"/>
                <w:szCs w:val="14"/>
                <w:lang w:eastAsia="es-ES"/>
              </w:rPr>
              <w:t>681.663</w:t>
            </w:r>
          </w:p>
        </w:tc>
        <w:tc>
          <w:tcPr>
            <w:tcW w:w="1318" w:type="dxa"/>
            <w:tcBorders>
              <w:top w:val="nil"/>
              <w:left w:val="nil"/>
              <w:bottom w:val="nil"/>
              <w:right w:val="nil"/>
            </w:tcBorders>
            <w:shd w:val="clear" w:color="auto" w:fill="auto"/>
            <w:noWrap/>
            <w:vAlign w:val="bottom"/>
            <w:hideMark/>
          </w:tcPr>
          <w:p w14:paraId="1CD26569" w14:textId="6CC240FD" w:rsidR="00337F47" w:rsidRPr="005805E3" w:rsidRDefault="0085784D" w:rsidP="00E066D7">
            <w:pPr>
              <w:spacing w:after="0" w:line="240" w:lineRule="auto"/>
              <w:jc w:val="center"/>
              <w:rPr>
                <w:rFonts w:eastAsia="Times New Roman" w:cs="Calibri"/>
                <w:sz w:val="14"/>
                <w:szCs w:val="14"/>
                <w:lang w:eastAsia="es-ES"/>
              </w:rPr>
            </w:pPr>
            <w:r>
              <w:rPr>
                <w:rFonts w:eastAsia="Times New Roman" w:cs="Calibri"/>
                <w:sz w:val="14"/>
                <w:szCs w:val="14"/>
                <w:lang w:eastAsia="es-ES"/>
              </w:rPr>
              <w:t>995.000</w:t>
            </w:r>
          </w:p>
        </w:tc>
        <w:tc>
          <w:tcPr>
            <w:tcW w:w="1172" w:type="dxa"/>
            <w:tcBorders>
              <w:top w:val="nil"/>
              <w:left w:val="nil"/>
              <w:bottom w:val="nil"/>
              <w:right w:val="nil"/>
            </w:tcBorders>
            <w:shd w:val="clear" w:color="000000" w:fill="FFFFFF"/>
            <w:noWrap/>
            <w:vAlign w:val="bottom"/>
            <w:hideMark/>
          </w:tcPr>
          <w:p w14:paraId="4E893B12" w14:textId="77F014A8" w:rsidR="00337F47" w:rsidRPr="005805E3" w:rsidRDefault="00337F47" w:rsidP="00E066D7">
            <w:pPr>
              <w:spacing w:after="0" w:line="240" w:lineRule="auto"/>
              <w:jc w:val="center"/>
              <w:rPr>
                <w:rFonts w:eastAsia="Times New Roman" w:cs="Calibri"/>
                <w:color w:val="000000"/>
                <w:sz w:val="14"/>
                <w:szCs w:val="14"/>
                <w:lang w:eastAsia="es-ES"/>
              </w:rPr>
            </w:pPr>
            <w:r w:rsidRPr="005805E3">
              <w:rPr>
                <w:rFonts w:eastAsia="Times New Roman" w:cs="Calibri"/>
                <w:color w:val="000000"/>
                <w:sz w:val="14"/>
                <w:szCs w:val="14"/>
                <w:lang w:eastAsia="es-ES"/>
              </w:rPr>
              <w:t>(3</w:t>
            </w:r>
            <w:r w:rsidR="0085784D">
              <w:rPr>
                <w:rFonts w:eastAsia="Times New Roman" w:cs="Calibri"/>
                <w:color w:val="000000"/>
                <w:sz w:val="14"/>
                <w:szCs w:val="14"/>
                <w:lang w:eastAsia="es-ES"/>
              </w:rPr>
              <w:t>13.337</w:t>
            </w:r>
            <w:r w:rsidRPr="005805E3">
              <w:rPr>
                <w:rFonts w:eastAsia="Times New Roman" w:cs="Calibri"/>
                <w:color w:val="000000"/>
                <w:sz w:val="14"/>
                <w:szCs w:val="14"/>
                <w:lang w:eastAsia="es-ES"/>
              </w:rPr>
              <w:t>)</w:t>
            </w:r>
          </w:p>
        </w:tc>
        <w:tc>
          <w:tcPr>
            <w:tcW w:w="585" w:type="dxa"/>
            <w:tcBorders>
              <w:top w:val="nil"/>
              <w:left w:val="nil"/>
              <w:bottom w:val="nil"/>
              <w:right w:val="nil"/>
            </w:tcBorders>
            <w:shd w:val="clear" w:color="000000" w:fill="FFFFFF"/>
            <w:noWrap/>
            <w:vAlign w:val="bottom"/>
            <w:hideMark/>
          </w:tcPr>
          <w:p w14:paraId="01ABF7C9" w14:textId="442CFFC2" w:rsidR="00337F47" w:rsidRPr="005805E3" w:rsidRDefault="0085784D" w:rsidP="00E066D7">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46</w:t>
            </w:r>
            <w:r w:rsidR="00337F47" w:rsidRPr="005805E3">
              <w:rPr>
                <w:rFonts w:eastAsia="Times New Roman" w:cs="Calibri"/>
                <w:color w:val="000000"/>
                <w:sz w:val="14"/>
                <w:szCs w:val="14"/>
                <w:lang w:eastAsia="es-ES"/>
              </w:rPr>
              <w:t>%</w:t>
            </w:r>
          </w:p>
        </w:tc>
      </w:tr>
      <w:tr w:rsidR="00337F47" w:rsidRPr="005805E3" w14:paraId="7C3DDA68" w14:textId="77777777" w:rsidTr="00E066D7">
        <w:trPr>
          <w:trHeight w:val="332"/>
        </w:trPr>
        <w:tc>
          <w:tcPr>
            <w:tcW w:w="3496" w:type="dxa"/>
            <w:tcBorders>
              <w:top w:val="nil"/>
              <w:left w:val="nil"/>
              <w:bottom w:val="nil"/>
              <w:right w:val="nil"/>
            </w:tcBorders>
            <w:shd w:val="clear" w:color="auto" w:fill="auto"/>
            <w:noWrap/>
            <w:vAlign w:val="bottom"/>
            <w:hideMark/>
          </w:tcPr>
          <w:p w14:paraId="639EAE48" w14:textId="77777777" w:rsidR="00337F47" w:rsidRPr="005805E3" w:rsidRDefault="00337F47" w:rsidP="00695E28">
            <w:pPr>
              <w:spacing w:after="0" w:line="240" w:lineRule="auto"/>
              <w:rPr>
                <w:rFonts w:eastAsia="Times New Roman" w:cs="Calibri"/>
                <w:color w:val="000000"/>
                <w:sz w:val="14"/>
                <w:szCs w:val="14"/>
                <w:lang w:eastAsia="es-ES"/>
              </w:rPr>
            </w:pPr>
            <w:r w:rsidRPr="005805E3">
              <w:rPr>
                <w:rFonts w:eastAsia="Times New Roman" w:cs="Calibri"/>
                <w:color w:val="000000"/>
                <w:sz w:val="14"/>
                <w:szCs w:val="14"/>
                <w:lang w:eastAsia="es-ES"/>
              </w:rPr>
              <w:t>Subvenciones, donaciones y legados a la explotación</w:t>
            </w:r>
          </w:p>
        </w:tc>
        <w:tc>
          <w:tcPr>
            <w:tcW w:w="972" w:type="dxa"/>
            <w:tcBorders>
              <w:top w:val="nil"/>
              <w:left w:val="nil"/>
              <w:bottom w:val="nil"/>
              <w:right w:val="nil"/>
            </w:tcBorders>
            <w:shd w:val="clear" w:color="auto" w:fill="auto"/>
            <w:noWrap/>
            <w:vAlign w:val="center"/>
            <w:hideMark/>
          </w:tcPr>
          <w:p w14:paraId="5990F9C3" w14:textId="77777777" w:rsidR="00337F47" w:rsidRPr="005805E3" w:rsidRDefault="00337F47" w:rsidP="00695E28">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740</w:t>
            </w:r>
          </w:p>
        </w:tc>
        <w:tc>
          <w:tcPr>
            <w:tcW w:w="1249" w:type="dxa"/>
            <w:tcBorders>
              <w:top w:val="nil"/>
              <w:left w:val="nil"/>
              <w:bottom w:val="nil"/>
              <w:right w:val="nil"/>
            </w:tcBorders>
            <w:shd w:val="clear" w:color="auto" w:fill="auto"/>
            <w:noWrap/>
            <w:vAlign w:val="bottom"/>
            <w:hideMark/>
          </w:tcPr>
          <w:p w14:paraId="29CAA67A" w14:textId="539F273E" w:rsidR="00337F47" w:rsidRPr="005805E3" w:rsidRDefault="00E60944" w:rsidP="00E066D7">
            <w:pPr>
              <w:spacing w:after="0" w:line="240" w:lineRule="auto"/>
              <w:jc w:val="center"/>
              <w:rPr>
                <w:rFonts w:eastAsia="Times New Roman" w:cs="Calibri"/>
                <w:sz w:val="14"/>
                <w:szCs w:val="14"/>
                <w:lang w:eastAsia="es-ES"/>
              </w:rPr>
            </w:pPr>
            <w:r>
              <w:rPr>
                <w:rFonts w:eastAsia="Times New Roman" w:cs="Calibri"/>
                <w:sz w:val="14"/>
                <w:szCs w:val="14"/>
                <w:lang w:eastAsia="es-ES"/>
              </w:rPr>
              <w:t>16.258.817</w:t>
            </w:r>
          </w:p>
        </w:tc>
        <w:tc>
          <w:tcPr>
            <w:tcW w:w="1318" w:type="dxa"/>
            <w:tcBorders>
              <w:top w:val="nil"/>
              <w:left w:val="nil"/>
              <w:bottom w:val="nil"/>
              <w:right w:val="nil"/>
            </w:tcBorders>
            <w:shd w:val="clear" w:color="auto" w:fill="auto"/>
            <w:noWrap/>
            <w:vAlign w:val="bottom"/>
            <w:hideMark/>
          </w:tcPr>
          <w:p w14:paraId="5E615ABA" w14:textId="70F2F6F9" w:rsidR="00337F47" w:rsidRPr="005805E3" w:rsidRDefault="0085784D" w:rsidP="00E066D7">
            <w:pPr>
              <w:spacing w:after="0" w:line="240" w:lineRule="auto"/>
              <w:jc w:val="center"/>
              <w:rPr>
                <w:rFonts w:eastAsia="Times New Roman" w:cs="Calibri"/>
                <w:sz w:val="14"/>
                <w:szCs w:val="14"/>
                <w:lang w:eastAsia="es-ES"/>
              </w:rPr>
            </w:pPr>
            <w:r>
              <w:rPr>
                <w:rFonts w:eastAsia="Times New Roman" w:cs="Calibri"/>
                <w:sz w:val="14"/>
                <w:szCs w:val="14"/>
                <w:lang w:eastAsia="es-ES"/>
              </w:rPr>
              <w:t>1</w:t>
            </w:r>
            <w:r w:rsidR="00602328">
              <w:rPr>
                <w:rFonts w:eastAsia="Times New Roman" w:cs="Calibri"/>
                <w:sz w:val="14"/>
                <w:szCs w:val="14"/>
                <w:lang w:eastAsia="es-ES"/>
              </w:rPr>
              <w:t>8</w:t>
            </w:r>
            <w:r>
              <w:rPr>
                <w:rFonts w:eastAsia="Times New Roman" w:cs="Calibri"/>
                <w:sz w:val="14"/>
                <w:szCs w:val="14"/>
                <w:lang w:eastAsia="es-ES"/>
              </w:rPr>
              <w:t>.</w:t>
            </w:r>
            <w:r w:rsidR="00602328">
              <w:rPr>
                <w:rFonts w:eastAsia="Times New Roman" w:cs="Calibri"/>
                <w:sz w:val="14"/>
                <w:szCs w:val="14"/>
                <w:lang w:eastAsia="es-ES"/>
              </w:rPr>
              <w:t>0</w:t>
            </w:r>
            <w:r>
              <w:rPr>
                <w:rFonts w:eastAsia="Times New Roman" w:cs="Calibri"/>
                <w:sz w:val="14"/>
                <w:szCs w:val="14"/>
                <w:lang w:eastAsia="es-ES"/>
              </w:rPr>
              <w:t>11.046</w:t>
            </w:r>
          </w:p>
        </w:tc>
        <w:tc>
          <w:tcPr>
            <w:tcW w:w="1172" w:type="dxa"/>
            <w:tcBorders>
              <w:top w:val="nil"/>
              <w:left w:val="nil"/>
              <w:bottom w:val="nil"/>
              <w:right w:val="nil"/>
            </w:tcBorders>
            <w:shd w:val="clear" w:color="000000" w:fill="FFFFFF"/>
            <w:noWrap/>
            <w:vAlign w:val="bottom"/>
            <w:hideMark/>
          </w:tcPr>
          <w:p w14:paraId="57E28B8D" w14:textId="3EC04354" w:rsidR="00337F47" w:rsidRPr="005805E3" w:rsidRDefault="00337F47" w:rsidP="00E066D7">
            <w:pPr>
              <w:spacing w:after="0" w:line="240" w:lineRule="auto"/>
              <w:jc w:val="center"/>
              <w:rPr>
                <w:rFonts w:eastAsia="Times New Roman" w:cs="Calibri"/>
                <w:color w:val="000000"/>
                <w:sz w:val="14"/>
                <w:szCs w:val="14"/>
                <w:lang w:eastAsia="es-ES"/>
              </w:rPr>
            </w:pPr>
            <w:r w:rsidRPr="005805E3">
              <w:rPr>
                <w:rFonts w:eastAsia="Times New Roman" w:cs="Calibri"/>
                <w:color w:val="000000"/>
                <w:sz w:val="14"/>
                <w:szCs w:val="14"/>
                <w:lang w:eastAsia="es-ES"/>
              </w:rPr>
              <w:t>(</w:t>
            </w:r>
            <w:r w:rsidR="0085784D">
              <w:rPr>
                <w:rFonts w:eastAsia="Times New Roman" w:cs="Calibri"/>
                <w:color w:val="000000"/>
                <w:sz w:val="14"/>
                <w:szCs w:val="14"/>
                <w:lang w:eastAsia="es-ES"/>
              </w:rPr>
              <w:t>1.</w:t>
            </w:r>
            <w:r w:rsidR="00602328">
              <w:rPr>
                <w:rFonts w:eastAsia="Times New Roman" w:cs="Calibri"/>
                <w:color w:val="000000"/>
                <w:sz w:val="14"/>
                <w:szCs w:val="14"/>
                <w:lang w:eastAsia="es-ES"/>
              </w:rPr>
              <w:t>7</w:t>
            </w:r>
            <w:r w:rsidR="0085784D">
              <w:rPr>
                <w:rFonts w:eastAsia="Times New Roman" w:cs="Calibri"/>
                <w:color w:val="000000"/>
                <w:sz w:val="14"/>
                <w:szCs w:val="14"/>
                <w:lang w:eastAsia="es-ES"/>
              </w:rPr>
              <w:t>52.229</w:t>
            </w:r>
            <w:r w:rsidRPr="005805E3">
              <w:rPr>
                <w:rFonts w:eastAsia="Times New Roman" w:cs="Calibri"/>
                <w:color w:val="000000"/>
                <w:sz w:val="14"/>
                <w:szCs w:val="14"/>
                <w:lang w:eastAsia="es-ES"/>
              </w:rPr>
              <w:t>)</w:t>
            </w:r>
          </w:p>
        </w:tc>
        <w:tc>
          <w:tcPr>
            <w:tcW w:w="585" w:type="dxa"/>
            <w:tcBorders>
              <w:top w:val="nil"/>
              <w:left w:val="nil"/>
              <w:bottom w:val="nil"/>
              <w:right w:val="nil"/>
            </w:tcBorders>
            <w:shd w:val="clear" w:color="000000" w:fill="FFFFFF"/>
            <w:noWrap/>
            <w:vAlign w:val="bottom"/>
            <w:hideMark/>
          </w:tcPr>
          <w:p w14:paraId="29109556" w14:textId="7B0FF599" w:rsidR="00337F47" w:rsidRPr="005805E3" w:rsidRDefault="00E60944" w:rsidP="00E066D7">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10</w:t>
            </w:r>
            <w:r w:rsidR="00337F47" w:rsidRPr="005805E3">
              <w:rPr>
                <w:rFonts w:eastAsia="Times New Roman" w:cs="Calibri"/>
                <w:color w:val="000000"/>
                <w:sz w:val="14"/>
                <w:szCs w:val="14"/>
                <w:lang w:eastAsia="es-ES"/>
              </w:rPr>
              <w:t>%</w:t>
            </w:r>
          </w:p>
        </w:tc>
      </w:tr>
      <w:tr w:rsidR="00337F47" w:rsidRPr="005805E3" w14:paraId="7B12E12B" w14:textId="77777777" w:rsidTr="00E066D7">
        <w:trPr>
          <w:trHeight w:val="332"/>
        </w:trPr>
        <w:tc>
          <w:tcPr>
            <w:tcW w:w="3496" w:type="dxa"/>
            <w:tcBorders>
              <w:top w:val="nil"/>
              <w:left w:val="nil"/>
              <w:bottom w:val="nil"/>
              <w:right w:val="nil"/>
            </w:tcBorders>
            <w:shd w:val="clear" w:color="auto" w:fill="auto"/>
            <w:noWrap/>
            <w:vAlign w:val="bottom"/>
            <w:hideMark/>
          </w:tcPr>
          <w:p w14:paraId="6BF0C3A3" w14:textId="77777777" w:rsidR="00337F47" w:rsidRPr="005805E3" w:rsidRDefault="00337F47" w:rsidP="00695E28">
            <w:pPr>
              <w:spacing w:after="0" w:line="240" w:lineRule="auto"/>
              <w:rPr>
                <w:rFonts w:eastAsia="Times New Roman" w:cs="Calibri"/>
                <w:color w:val="000000"/>
                <w:sz w:val="14"/>
                <w:szCs w:val="14"/>
                <w:lang w:eastAsia="es-ES"/>
              </w:rPr>
            </w:pPr>
            <w:r w:rsidRPr="005805E3">
              <w:rPr>
                <w:rFonts w:eastAsia="Times New Roman" w:cs="Calibri"/>
                <w:color w:val="000000"/>
                <w:sz w:val="14"/>
                <w:szCs w:val="14"/>
                <w:lang w:eastAsia="es-ES"/>
              </w:rPr>
              <w:t xml:space="preserve">Donaciones y otros ingresos por la actividad </w:t>
            </w:r>
          </w:p>
        </w:tc>
        <w:tc>
          <w:tcPr>
            <w:tcW w:w="972" w:type="dxa"/>
            <w:tcBorders>
              <w:top w:val="nil"/>
              <w:left w:val="nil"/>
              <w:bottom w:val="nil"/>
              <w:right w:val="nil"/>
            </w:tcBorders>
            <w:shd w:val="clear" w:color="auto" w:fill="auto"/>
            <w:noWrap/>
            <w:vAlign w:val="center"/>
            <w:hideMark/>
          </w:tcPr>
          <w:p w14:paraId="0E8E27CC" w14:textId="77777777" w:rsidR="00337F47" w:rsidRPr="005805E3" w:rsidRDefault="00337F47" w:rsidP="00695E28">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747</w:t>
            </w:r>
          </w:p>
        </w:tc>
        <w:tc>
          <w:tcPr>
            <w:tcW w:w="1249" w:type="dxa"/>
            <w:tcBorders>
              <w:top w:val="nil"/>
              <w:left w:val="nil"/>
              <w:bottom w:val="nil"/>
              <w:right w:val="nil"/>
            </w:tcBorders>
            <w:shd w:val="clear" w:color="auto" w:fill="auto"/>
            <w:noWrap/>
            <w:vAlign w:val="bottom"/>
            <w:hideMark/>
          </w:tcPr>
          <w:p w14:paraId="7E998004" w14:textId="0361C2A4" w:rsidR="00337F47" w:rsidRPr="005805E3" w:rsidRDefault="00E60944" w:rsidP="00E066D7">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1.100.000</w:t>
            </w:r>
          </w:p>
        </w:tc>
        <w:tc>
          <w:tcPr>
            <w:tcW w:w="1318" w:type="dxa"/>
            <w:tcBorders>
              <w:top w:val="nil"/>
              <w:left w:val="nil"/>
              <w:bottom w:val="nil"/>
              <w:right w:val="nil"/>
            </w:tcBorders>
            <w:shd w:val="clear" w:color="auto" w:fill="auto"/>
            <w:noWrap/>
            <w:vAlign w:val="bottom"/>
            <w:hideMark/>
          </w:tcPr>
          <w:p w14:paraId="61D12185" w14:textId="64E2BF87" w:rsidR="00337F47" w:rsidRPr="005805E3" w:rsidRDefault="0085784D" w:rsidP="00E066D7">
            <w:pPr>
              <w:spacing w:after="0" w:line="240" w:lineRule="auto"/>
              <w:jc w:val="center"/>
              <w:rPr>
                <w:rFonts w:eastAsia="Times New Roman" w:cs="Calibri"/>
                <w:sz w:val="14"/>
                <w:szCs w:val="14"/>
                <w:lang w:eastAsia="es-ES"/>
              </w:rPr>
            </w:pPr>
            <w:r>
              <w:rPr>
                <w:rFonts w:eastAsia="Times New Roman" w:cs="Calibri"/>
                <w:sz w:val="14"/>
                <w:szCs w:val="14"/>
                <w:lang w:eastAsia="es-ES"/>
              </w:rPr>
              <w:t>1.185.</w:t>
            </w:r>
            <w:r w:rsidR="00E60944">
              <w:rPr>
                <w:rFonts w:eastAsia="Times New Roman" w:cs="Calibri"/>
                <w:sz w:val="14"/>
                <w:szCs w:val="14"/>
                <w:lang w:eastAsia="es-ES"/>
              </w:rPr>
              <w:t>000</w:t>
            </w:r>
          </w:p>
        </w:tc>
        <w:tc>
          <w:tcPr>
            <w:tcW w:w="1172" w:type="dxa"/>
            <w:tcBorders>
              <w:top w:val="nil"/>
              <w:left w:val="nil"/>
              <w:bottom w:val="nil"/>
              <w:right w:val="nil"/>
            </w:tcBorders>
            <w:shd w:val="clear" w:color="000000" w:fill="FFFFFF"/>
            <w:noWrap/>
            <w:vAlign w:val="bottom"/>
            <w:hideMark/>
          </w:tcPr>
          <w:p w14:paraId="2EFFE620" w14:textId="7F92013E" w:rsidR="00337F47" w:rsidRPr="005805E3" w:rsidRDefault="00337F47" w:rsidP="00E066D7">
            <w:pPr>
              <w:spacing w:after="0" w:line="240" w:lineRule="auto"/>
              <w:jc w:val="center"/>
              <w:rPr>
                <w:rFonts w:eastAsia="Times New Roman" w:cs="Calibri"/>
                <w:color w:val="000000"/>
                <w:sz w:val="14"/>
                <w:szCs w:val="14"/>
                <w:lang w:eastAsia="es-ES"/>
              </w:rPr>
            </w:pPr>
            <w:r w:rsidRPr="005805E3">
              <w:rPr>
                <w:rFonts w:eastAsia="Times New Roman" w:cs="Calibri"/>
                <w:color w:val="000000"/>
                <w:sz w:val="14"/>
                <w:szCs w:val="14"/>
                <w:lang w:eastAsia="es-ES"/>
              </w:rPr>
              <w:t>(</w:t>
            </w:r>
            <w:r w:rsidR="0085784D">
              <w:rPr>
                <w:rFonts w:eastAsia="Times New Roman" w:cs="Calibri"/>
                <w:color w:val="000000"/>
                <w:sz w:val="14"/>
                <w:szCs w:val="14"/>
                <w:lang w:eastAsia="es-ES"/>
              </w:rPr>
              <w:t>75.000</w:t>
            </w:r>
            <w:r w:rsidRPr="005805E3">
              <w:rPr>
                <w:rFonts w:eastAsia="Times New Roman" w:cs="Calibri"/>
                <w:color w:val="000000"/>
                <w:sz w:val="14"/>
                <w:szCs w:val="14"/>
                <w:lang w:eastAsia="es-ES"/>
              </w:rPr>
              <w:t>)</w:t>
            </w:r>
          </w:p>
        </w:tc>
        <w:tc>
          <w:tcPr>
            <w:tcW w:w="585" w:type="dxa"/>
            <w:tcBorders>
              <w:top w:val="nil"/>
              <w:left w:val="nil"/>
              <w:bottom w:val="nil"/>
              <w:right w:val="nil"/>
            </w:tcBorders>
            <w:shd w:val="clear" w:color="000000" w:fill="FFFFFF"/>
            <w:noWrap/>
            <w:vAlign w:val="bottom"/>
            <w:hideMark/>
          </w:tcPr>
          <w:p w14:paraId="2A2C284D" w14:textId="2A6BB1B5" w:rsidR="00337F47" w:rsidRPr="005805E3" w:rsidRDefault="00E60944" w:rsidP="00E066D7">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7</w:t>
            </w:r>
            <w:r w:rsidR="00337F47" w:rsidRPr="005805E3">
              <w:rPr>
                <w:rFonts w:eastAsia="Times New Roman" w:cs="Calibri"/>
                <w:color w:val="000000"/>
                <w:sz w:val="14"/>
                <w:szCs w:val="14"/>
                <w:lang w:eastAsia="es-ES"/>
              </w:rPr>
              <w:t>%</w:t>
            </w:r>
          </w:p>
        </w:tc>
      </w:tr>
      <w:tr w:rsidR="00337F47" w:rsidRPr="005805E3" w14:paraId="5E90CA63" w14:textId="77777777" w:rsidTr="00E066D7">
        <w:trPr>
          <w:trHeight w:val="332"/>
        </w:trPr>
        <w:tc>
          <w:tcPr>
            <w:tcW w:w="3496" w:type="dxa"/>
            <w:tcBorders>
              <w:top w:val="nil"/>
              <w:left w:val="nil"/>
              <w:bottom w:val="nil"/>
              <w:right w:val="nil"/>
            </w:tcBorders>
            <w:shd w:val="clear" w:color="000000" w:fill="BFBFBF"/>
            <w:noWrap/>
            <w:vAlign w:val="bottom"/>
            <w:hideMark/>
          </w:tcPr>
          <w:p w14:paraId="1E552E9A" w14:textId="77777777" w:rsidR="00337F47" w:rsidRPr="005805E3" w:rsidRDefault="00337F47" w:rsidP="00695E28">
            <w:pPr>
              <w:spacing w:after="0" w:line="240" w:lineRule="auto"/>
              <w:rPr>
                <w:rFonts w:eastAsia="Times New Roman" w:cs="Calibri"/>
                <w:b/>
                <w:bCs/>
                <w:color w:val="000000"/>
                <w:sz w:val="14"/>
                <w:szCs w:val="14"/>
                <w:lang w:eastAsia="es-ES"/>
              </w:rPr>
            </w:pPr>
            <w:r w:rsidRPr="005805E3">
              <w:rPr>
                <w:rFonts w:eastAsia="Times New Roman" w:cs="Calibri"/>
                <w:b/>
                <w:bCs/>
                <w:color w:val="000000"/>
                <w:sz w:val="14"/>
                <w:szCs w:val="14"/>
                <w:lang w:eastAsia="es-ES"/>
              </w:rPr>
              <w:t>Gastos de personal</w:t>
            </w:r>
          </w:p>
        </w:tc>
        <w:tc>
          <w:tcPr>
            <w:tcW w:w="972" w:type="dxa"/>
            <w:tcBorders>
              <w:top w:val="nil"/>
              <w:left w:val="nil"/>
              <w:bottom w:val="nil"/>
              <w:right w:val="nil"/>
            </w:tcBorders>
            <w:shd w:val="clear" w:color="000000" w:fill="BFBFBF"/>
            <w:noWrap/>
            <w:vAlign w:val="bottom"/>
            <w:hideMark/>
          </w:tcPr>
          <w:p w14:paraId="44E986B6" w14:textId="77777777" w:rsidR="00337F47" w:rsidRPr="005805E3" w:rsidRDefault="00337F47" w:rsidP="00695E28">
            <w:pPr>
              <w:spacing w:after="0" w:line="240" w:lineRule="auto"/>
              <w:rPr>
                <w:rFonts w:eastAsia="Times New Roman" w:cs="Calibri"/>
                <w:b/>
                <w:bCs/>
                <w:color w:val="000000"/>
                <w:sz w:val="14"/>
                <w:szCs w:val="14"/>
                <w:lang w:eastAsia="es-ES"/>
              </w:rPr>
            </w:pPr>
            <w:r w:rsidRPr="005805E3">
              <w:rPr>
                <w:rFonts w:eastAsia="Times New Roman" w:cs="Calibri"/>
                <w:b/>
                <w:bCs/>
                <w:color w:val="000000"/>
                <w:sz w:val="14"/>
                <w:szCs w:val="14"/>
                <w:lang w:eastAsia="es-ES"/>
              </w:rPr>
              <w:t> </w:t>
            </w:r>
          </w:p>
        </w:tc>
        <w:tc>
          <w:tcPr>
            <w:tcW w:w="1249" w:type="dxa"/>
            <w:tcBorders>
              <w:top w:val="nil"/>
              <w:left w:val="nil"/>
              <w:bottom w:val="nil"/>
              <w:right w:val="nil"/>
            </w:tcBorders>
            <w:shd w:val="clear" w:color="000000" w:fill="BFBFBF"/>
            <w:noWrap/>
            <w:vAlign w:val="bottom"/>
            <w:hideMark/>
          </w:tcPr>
          <w:p w14:paraId="4DE1D9DF" w14:textId="217C0A62" w:rsidR="00337F47" w:rsidRPr="005805E3" w:rsidRDefault="00337F47" w:rsidP="00E066D7">
            <w:pPr>
              <w:spacing w:after="0" w:line="240" w:lineRule="auto"/>
              <w:jc w:val="center"/>
              <w:rPr>
                <w:rFonts w:eastAsia="Times New Roman" w:cs="Calibri"/>
                <w:b/>
                <w:bCs/>
                <w:color w:val="000000"/>
                <w:sz w:val="14"/>
                <w:szCs w:val="14"/>
                <w:lang w:eastAsia="es-ES"/>
              </w:rPr>
            </w:pPr>
            <w:r w:rsidRPr="005805E3">
              <w:rPr>
                <w:rFonts w:eastAsia="Times New Roman" w:cs="Calibri"/>
                <w:b/>
                <w:bCs/>
                <w:color w:val="000000"/>
                <w:sz w:val="14"/>
                <w:szCs w:val="14"/>
                <w:lang w:eastAsia="es-ES"/>
              </w:rPr>
              <w:t>(</w:t>
            </w:r>
            <w:r w:rsidR="009C16F0">
              <w:rPr>
                <w:rFonts w:eastAsia="Times New Roman" w:cs="Calibri"/>
                <w:b/>
                <w:bCs/>
                <w:color w:val="000000"/>
                <w:sz w:val="14"/>
                <w:szCs w:val="14"/>
                <w:lang w:eastAsia="es-ES"/>
              </w:rPr>
              <w:t>3.214.413</w:t>
            </w:r>
            <w:r w:rsidRPr="005805E3">
              <w:rPr>
                <w:rFonts w:eastAsia="Times New Roman" w:cs="Calibri"/>
                <w:b/>
                <w:bCs/>
                <w:color w:val="000000"/>
                <w:sz w:val="14"/>
                <w:szCs w:val="14"/>
                <w:lang w:eastAsia="es-ES"/>
              </w:rPr>
              <w:t>)</w:t>
            </w:r>
          </w:p>
        </w:tc>
        <w:tc>
          <w:tcPr>
            <w:tcW w:w="1318" w:type="dxa"/>
            <w:tcBorders>
              <w:top w:val="nil"/>
              <w:left w:val="nil"/>
              <w:bottom w:val="nil"/>
              <w:right w:val="nil"/>
            </w:tcBorders>
            <w:shd w:val="clear" w:color="000000" w:fill="BFBFBF"/>
            <w:noWrap/>
            <w:vAlign w:val="bottom"/>
            <w:hideMark/>
          </w:tcPr>
          <w:p w14:paraId="6C700D1C" w14:textId="20EC2960" w:rsidR="00337F47" w:rsidRPr="005805E3" w:rsidRDefault="00337F47" w:rsidP="00E066D7">
            <w:pPr>
              <w:spacing w:after="0" w:line="240" w:lineRule="auto"/>
              <w:jc w:val="center"/>
              <w:rPr>
                <w:rFonts w:eastAsia="Times New Roman" w:cs="Calibri"/>
                <w:b/>
                <w:bCs/>
                <w:color w:val="000000"/>
                <w:sz w:val="14"/>
                <w:szCs w:val="14"/>
                <w:lang w:eastAsia="es-ES"/>
              </w:rPr>
            </w:pPr>
            <w:r w:rsidRPr="005805E3">
              <w:rPr>
                <w:rFonts w:eastAsia="Times New Roman" w:cs="Calibri"/>
                <w:b/>
                <w:bCs/>
                <w:color w:val="000000"/>
                <w:sz w:val="14"/>
                <w:szCs w:val="14"/>
                <w:lang w:eastAsia="es-ES"/>
              </w:rPr>
              <w:t>(</w:t>
            </w:r>
            <w:r w:rsidR="009C16F0">
              <w:rPr>
                <w:rFonts w:eastAsia="Times New Roman" w:cs="Calibri"/>
                <w:b/>
                <w:bCs/>
                <w:color w:val="000000"/>
                <w:sz w:val="14"/>
                <w:szCs w:val="14"/>
                <w:lang w:eastAsia="es-ES"/>
              </w:rPr>
              <w:t>2.841.316</w:t>
            </w:r>
            <w:r w:rsidRPr="005805E3">
              <w:rPr>
                <w:rFonts w:eastAsia="Times New Roman" w:cs="Calibri"/>
                <w:b/>
                <w:bCs/>
                <w:color w:val="000000"/>
                <w:sz w:val="14"/>
                <w:szCs w:val="14"/>
                <w:lang w:eastAsia="es-ES"/>
              </w:rPr>
              <w:t>)</w:t>
            </w:r>
          </w:p>
        </w:tc>
        <w:tc>
          <w:tcPr>
            <w:tcW w:w="1172" w:type="dxa"/>
            <w:tcBorders>
              <w:top w:val="nil"/>
              <w:left w:val="nil"/>
              <w:bottom w:val="nil"/>
              <w:right w:val="nil"/>
            </w:tcBorders>
            <w:shd w:val="clear" w:color="000000" w:fill="BFBFBF"/>
            <w:noWrap/>
            <w:vAlign w:val="bottom"/>
            <w:hideMark/>
          </w:tcPr>
          <w:p w14:paraId="21B3E7DB" w14:textId="1C69B8E5" w:rsidR="00337F47" w:rsidRPr="005805E3" w:rsidRDefault="009C16F0" w:rsidP="00E066D7">
            <w:pPr>
              <w:spacing w:after="0" w:line="240" w:lineRule="auto"/>
              <w:jc w:val="center"/>
              <w:rPr>
                <w:rFonts w:eastAsia="Times New Roman" w:cs="Calibri"/>
                <w:b/>
                <w:bCs/>
                <w:color w:val="000000"/>
                <w:sz w:val="14"/>
                <w:szCs w:val="14"/>
                <w:lang w:eastAsia="es-ES"/>
              </w:rPr>
            </w:pPr>
            <w:r>
              <w:rPr>
                <w:rFonts w:eastAsia="Times New Roman" w:cs="Calibri"/>
                <w:b/>
                <w:bCs/>
                <w:color w:val="000000"/>
                <w:sz w:val="14"/>
                <w:szCs w:val="14"/>
                <w:lang w:eastAsia="es-ES"/>
              </w:rPr>
              <w:t>(373.097)</w:t>
            </w:r>
          </w:p>
        </w:tc>
        <w:tc>
          <w:tcPr>
            <w:tcW w:w="585" w:type="dxa"/>
            <w:tcBorders>
              <w:top w:val="nil"/>
              <w:left w:val="nil"/>
              <w:bottom w:val="nil"/>
              <w:right w:val="nil"/>
            </w:tcBorders>
            <w:shd w:val="clear" w:color="000000" w:fill="BFBFBF"/>
            <w:noWrap/>
            <w:vAlign w:val="bottom"/>
            <w:hideMark/>
          </w:tcPr>
          <w:p w14:paraId="0DD279A1" w14:textId="6379AC5E" w:rsidR="00337F47" w:rsidRPr="005805E3" w:rsidRDefault="00424D92" w:rsidP="00E066D7">
            <w:pPr>
              <w:spacing w:after="0" w:line="240" w:lineRule="auto"/>
              <w:jc w:val="center"/>
              <w:rPr>
                <w:rFonts w:eastAsia="Times New Roman" w:cs="Calibri"/>
                <w:b/>
                <w:bCs/>
                <w:color w:val="000000"/>
                <w:sz w:val="14"/>
                <w:szCs w:val="14"/>
                <w:lang w:eastAsia="es-ES"/>
              </w:rPr>
            </w:pPr>
            <w:r>
              <w:rPr>
                <w:rFonts w:eastAsia="Times New Roman" w:cs="Calibri"/>
                <w:b/>
                <w:bCs/>
                <w:color w:val="000000"/>
                <w:sz w:val="14"/>
                <w:szCs w:val="14"/>
                <w:lang w:eastAsia="es-ES"/>
              </w:rPr>
              <w:t>-</w:t>
            </w:r>
            <w:r w:rsidR="009C16F0">
              <w:rPr>
                <w:rFonts w:eastAsia="Times New Roman" w:cs="Calibri"/>
                <w:b/>
                <w:bCs/>
                <w:color w:val="000000"/>
                <w:sz w:val="14"/>
                <w:szCs w:val="14"/>
                <w:lang w:eastAsia="es-ES"/>
              </w:rPr>
              <w:t>11,6</w:t>
            </w:r>
            <w:r w:rsidR="00337F47" w:rsidRPr="005805E3">
              <w:rPr>
                <w:rFonts w:eastAsia="Times New Roman" w:cs="Calibri"/>
                <w:b/>
                <w:bCs/>
                <w:color w:val="000000"/>
                <w:sz w:val="14"/>
                <w:szCs w:val="14"/>
                <w:lang w:eastAsia="es-ES"/>
              </w:rPr>
              <w:t>%</w:t>
            </w:r>
          </w:p>
        </w:tc>
      </w:tr>
      <w:tr w:rsidR="00337F47" w:rsidRPr="005805E3" w14:paraId="1BEC00CA" w14:textId="77777777" w:rsidTr="00E066D7">
        <w:trPr>
          <w:trHeight w:val="332"/>
        </w:trPr>
        <w:tc>
          <w:tcPr>
            <w:tcW w:w="3496" w:type="dxa"/>
            <w:tcBorders>
              <w:top w:val="nil"/>
              <w:left w:val="nil"/>
              <w:bottom w:val="nil"/>
              <w:right w:val="nil"/>
            </w:tcBorders>
            <w:shd w:val="clear" w:color="000000" w:fill="BFBFBF"/>
            <w:noWrap/>
            <w:vAlign w:val="bottom"/>
            <w:hideMark/>
          </w:tcPr>
          <w:p w14:paraId="6BCC0076" w14:textId="77777777" w:rsidR="00337F47" w:rsidRPr="005805E3" w:rsidRDefault="00337F47" w:rsidP="00695E28">
            <w:pPr>
              <w:spacing w:after="0" w:line="240" w:lineRule="auto"/>
              <w:rPr>
                <w:rFonts w:eastAsia="Times New Roman" w:cs="Calibri"/>
                <w:b/>
                <w:bCs/>
                <w:color w:val="000000"/>
                <w:sz w:val="14"/>
                <w:szCs w:val="14"/>
                <w:lang w:eastAsia="es-ES"/>
              </w:rPr>
            </w:pPr>
            <w:r w:rsidRPr="005805E3">
              <w:rPr>
                <w:rFonts w:eastAsia="Times New Roman" w:cs="Calibri"/>
                <w:b/>
                <w:bCs/>
                <w:color w:val="000000"/>
                <w:sz w:val="14"/>
                <w:szCs w:val="14"/>
                <w:lang w:eastAsia="es-ES"/>
              </w:rPr>
              <w:t>Otros gastos de explotación</w:t>
            </w:r>
          </w:p>
        </w:tc>
        <w:tc>
          <w:tcPr>
            <w:tcW w:w="972" w:type="dxa"/>
            <w:tcBorders>
              <w:top w:val="nil"/>
              <w:left w:val="nil"/>
              <w:bottom w:val="nil"/>
              <w:right w:val="nil"/>
            </w:tcBorders>
            <w:shd w:val="clear" w:color="000000" w:fill="BFBFBF"/>
            <w:noWrap/>
            <w:vAlign w:val="bottom"/>
            <w:hideMark/>
          </w:tcPr>
          <w:p w14:paraId="0C3AAE79" w14:textId="77777777" w:rsidR="00337F47" w:rsidRPr="005805E3" w:rsidRDefault="00337F47" w:rsidP="00695E28">
            <w:pPr>
              <w:spacing w:after="0" w:line="240" w:lineRule="auto"/>
              <w:rPr>
                <w:rFonts w:eastAsia="Times New Roman" w:cs="Calibri"/>
                <w:b/>
                <w:bCs/>
                <w:color w:val="000000"/>
                <w:sz w:val="14"/>
                <w:szCs w:val="14"/>
                <w:lang w:eastAsia="es-ES"/>
              </w:rPr>
            </w:pPr>
            <w:r w:rsidRPr="005805E3">
              <w:rPr>
                <w:rFonts w:eastAsia="Times New Roman" w:cs="Calibri"/>
                <w:b/>
                <w:bCs/>
                <w:color w:val="000000"/>
                <w:sz w:val="14"/>
                <w:szCs w:val="14"/>
                <w:lang w:eastAsia="es-ES"/>
              </w:rPr>
              <w:t> </w:t>
            </w:r>
          </w:p>
        </w:tc>
        <w:tc>
          <w:tcPr>
            <w:tcW w:w="1249" w:type="dxa"/>
            <w:tcBorders>
              <w:top w:val="nil"/>
              <w:left w:val="nil"/>
              <w:bottom w:val="nil"/>
              <w:right w:val="nil"/>
            </w:tcBorders>
            <w:shd w:val="clear" w:color="000000" w:fill="BFBFBF"/>
            <w:noWrap/>
            <w:vAlign w:val="bottom"/>
            <w:hideMark/>
          </w:tcPr>
          <w:p w14:paraId="42441852" w14:textId="2324E610" w:rsidR="00337F47" w:rsidRPr="005805E3" w:rsidRDefault="00337F47" w:rsidP="00E066D7">
            <w:pPr>
              <w:spacing w:after="0" w:line="240" w:lineRule="auto"/>
              <w:jc w:val="center"/>
              <w:rPr>
                <w:rFonts w:eastAsia="Times New Roman" w:cs="Calibri"/>
                <w:b/>
                <w:bCs/>
                <w:color w:val="000000"/>
                <w:sz w:val="14"/>
                <w:szCs w:val="14"/>
                <w:lang w:eastAsia="es-ES"/>
              </w:rPr>
            </w:pPr>
            <w:r w:rsidRPr="005805E3">
              <w:rPr>
                <w:rFonts w:eastAsia="Times New Roman" w:cs="Calibri"/>
                <w:b/>
                <w:bCs/>
                <w:color w:val="000000"/>
                <w:sz w:val="14"/>
                <w:szCs w:val="14"/>
                <w:lang w:eastAsia="es-ES"/>
              </w:rPr>
              <w:t>(14.</w:t>
            </w:r>
            <w:r w:rsidR="00424D92">
              <w:rPr>
                <w:rFonts w:eastAsia="Times New Roman" w:cs="Calibri"/>
                <w:b/>
                <w:bCs/>
                <w:color w:val="000000"/>
                <w:sz w:val="14"/>
                <w:szCs w:val="14"/>
                <w:lang w:eastAsia="es-ES"/>
              </w:rPr>
              <w:t>878.699</w:t>
            </w:r>
            <w:r w:rsidRPr="005805E3">
              <w:rPr>
                <w:rFonts w:eastAsia="Times New Roman" w:cs="Calibri"/>
                <w:b/>
                <w:bCs/>
                <w:color w:val="000000"/>
                <w:sz w:val="14"/>
                <w:szCs w:val="14"/>
                <w:lang w:eastAsia="es-ES"/>
              </w:rPr>
              <w:t>)</w:t>
            </w:r>
          </w:p>
        </w:tc>
        <w:tc>
          <w:tcPr>
            <w:tcW w:w="1318" w:type="dxa"/>
            <w:tcBorders>
              <w:top w:val="nil"/>
              <w:left w:val="nil"/>
              <w:bottom w:val="nil"/>
              <w:right w:val="nil"/>
            </w:tcBorders>
            <w:shd w:val="clear" w:color="000000" w:fill="BFBFBF"/>
            <w:noWrap/>
            <w:vAlign w:val="bottom"/>
            <w:hideMark/>
          </w:tcPr>
          <w:p w14:paraId="4965DCC0" w14:textId="01439BE0" w:rsidR="00337F47" w:rsidRPr="005805E3" w:rsidRDefault="00337F47" w:rsidP="00E066D7">
            <w:pPr>
              <w:spacing w:after="0" w:line="240" w:lineRule="auto"/>
              <w:jc w:val="center"/>
              <w:rPr>
                <w:rFonts w:eastAsia="Times New Roman" w:cs="Calibri"/>
                <w:b/>
                <w:bCs/>
                <w:color w:val="000000"/>
                <w:sz w:val="14"/>
                <w:szCs w:val="14"/>
                <w:lang w:eastAsia="es-ES"/>
              </w:rPr>
            </w:pPr>
            <w:r w:rsidRPr="005805E3">
              <w:rPr>
                <w:rFonts w:eastAsia="Times New Roman" w:cs="Calibri"/>
                <w:b/>
                <w:bCs/>
                <w:color w:val="000000"/>
                <w:sz w:val="14"/>
                <w:szCs w:val="14"/>
                <w:lang w:eastAsia="es-ES"/>
              </w:rPr>
              <w:t>(1</w:t>
            </w:r>
            <w:r w:rsidR="00424D92">
              <w:rPr>
                <w:rFonts w:eastAsia="Times New Roman" w:cs="Calibri"/>
                <w:b/>
                <w:bCs/>
                <w:color w:val="000000"/>
                <w:sz w:val="14"/>
                <w:szCs w:val="14"/>
                <w:lang w:eastAsia="es-ES"/>
              </w:rPr>
              <w:t>7.</w:t>
            </w:r>
            <w:r w:rsidR="007B55AC">
              <w:rPr>
                <w:rFonts w:eastAsia="Times New Roman" w:cs="Calibri"/>
                <w:b/>
                <w:bCs/>
                <w:color w:val="000000"/>
                <w:sz w:val="14"/>
                <w:szCs w:val="14"/>
                <w:lang w:eastAsia="es-ES"/>
              </w:rPr>
              <w:t>4</w:t>
            </w:r>
            <w:r w:rsidR="00424D92">
              <w:rPr>
                <w:rFonts w:eastAsia="Times New Roman" w:cs="Calibri"/>
                <w:b/>
                <w:bCs/>
                <w:color w:val="000000"/>
                <w:sz w:val="14"/>
                <w:szCs w:val="14"/>
                <w:lang w:eastAsia="es-ES"/>
              </w:rPr>
              <w:t>16.747</w:t>
            </w:r>
            <w:r w:rsidRPr="005805E3">
              <w:rPr>
                <w:rFonts w:eastAsia="Times New Roman" w:cs="Calibri"/>
                <w:b/>
                <w:bCs/>
                <w:color w:val="000000"/>
                <w:sz w:val="14"/>
                <w:szCs w:val="14"/>
                <w:lang w:eastAsia="es-ES"/>
              </w:rPr>
              <w:t>)</w:t>
            </w:r>
          </w:p>
        </w:tc>
        <w:tc>
          <w:tcPr>
            <w:tcW w:w="1172" w:type="dxa"/>
            <w:tcBorders>
              <w:top w:val="nil"/>
              <w:left w:val="nil"/>
              <w:bottom w:val="nil"/>
              <w:right w:val="nil"/>
            </w:tcBorders>
            <w:shd w:val="clear" w:color="000000" w:fill="BFBFBF"/>
            <w:noWrap/>
            <w:vAlign w:val="bottom"/>
            <w:hideMark/>
          </w:tcPr>
          <w:p w14:paraId="63D29F38" w14:textId="0FD39D11" w:rsidR="00337F47" w:rsidRPr="005805E3" w:rsidRDefault="00424D92" w:rsidP="00E066D7">
            <w:pPr>
              <w:spacing w:after="0" w:line="240" w:lineRule="auto"/>
              <w:jc w:val="center"/>
              <w:rPr>
                <w:rFonts w:eastAsia="Times New Roman" w:cs="Calibri"/>
                <w:b/>
                <w:bCs/>
                <w:color w:val="000000"/>
                <w:sz w:val="14"/>
                <w:szCs w:val="14"/>
                <w:lang w:eastAsia="es-ES"/>
              </w:rPr>
            </w:pPr>
            <w:r>
              <w:rPr>
                <w:rFonts w:eastAsia="Times New Roman" w:cs="Calibri"/>
                <w:b/>
                <w:bCs/>
                <w:color w:val="000000"/>
                <w:sz w:val="14"/>
                <w:szCs w:val="14"/>
                <w:lang w:eastAsia="es-ES"/>
              </w:rPr>
              <w:t>2.</w:t>
            </w:r>
            <w:r w:rsidR="007B55AC">
              <w:rPr>
                <w:rFonts w:eastAsia="Times New Roman" w:cs="Calibri"/>
                <w:b/>
                <w:bCs/>
                <w:color w:val="000000"/>
                <w:sz w:val="14"/>
                <w:szCs w:val="14"/>
                <w:lang w:eastAsia="es-ES"/>
              </w:rPr>
              <w:t>5</w:t>
            </w:r>
            <w:r>
              <w:rPr>
                <w:rFonts w:eastAsia="Times New Roman" w:cs="Calibri"/>
                <w:b/>
                <w:bCs/>
                <w:color w:val="000000"/>
                <w:sz w:val="14"/>
                <w:szCs w:val="14"/>
                <w:lang w:eastAsia="es-ES"/>
              </w:rPr>
              <w:t>38.048</w:t>
            </w:r>
          </w:p>
        </w:tc>
        <w:tc>
          <w:tcPr>
            <w:tcW w:w="585" w:type="dxa"/>
            <w:tcBorders>
              <w:top w:val="nil"/>
              <w:left w:val="nil"/>
              <w:bottom w:val="nil"/>
              <w:right w:val="nil"/>
            </w:tcBorders>
            <w:shd w:val="clear" w:color="000000" w:fill="BFBFBF"/>
            <w:noWrap/>
            <w:vAlign w:val="bottom"/>
            <w:hideMark/>
          </w:tcPr>
          <w:p w14:paraId="22330FA5" w14:textId="234B6186" w:rsidR="00337F47" w:rsidRPr="005805E3" w:rsidRDefault="00337F47" w:rsidP="00E066D7">
            <w:pPr>
              <w:spacing w:after="0" w:line="240" w:lineRule="auto"/>
              <w:jc w:val="center"/>
              <w:rPr>
                <w:rFonts w:eastAsia="Times New Roman" w:cs="Calibri"/>
                <w:b/>
                <w:bCs/>
                <w:color w:val="000000"/>
                <w:sz w:val="14"/>
                <w:szCs w:val="14"/>
                <w:lang w:eastAsia="es-ES"/>
              </w:rPr>
            </w:pPr>
            <w:r w:rsidRPr="005805E3">
              <w:rPr>
                <w:rFonts w:eastAsia="Times New Roman" w:cs="Calibri"/>
                <w:b/>
                <w:bCs/>
                <w:color w:val="000000"/>
                <w:sz w:val="14"/>
                <w:szCs w:val="14"/>
                <w:lang w:eastAsia="es-ES"/>
              </w:rPr>
              <w:t>1</w:t>
            </w:r>
            <w:r w:rsidR="007B55AC">
              <w:rPr>
                <w:rFonts w:eastAsia="Times New Roman" w:cs="Calibri"/>
                <w:b/>
                <w:bCs/>
                <w:color w:val="000000"/>
                <w:sz w:val="14"/>
                <w:szCs w:val="14"/>
                <w:lang w:eastAsia="es-ES"/>
              </w:rPr>
              <w:t>7</w:t>
            </w:r>
            <w:r w:rsidRPr="005805E3">
              <w:rPr>
                <w:rFonts w:eastAsia="Times New Roman" w:cs="Calibri"/>
                <w:b/>
                <w:bCs/>
                <w:color w:val="000000"/>
                <w:sz w:val="14"/>
                <w:szCs w:val="14"/>
                <w:lang w:eastAsia="es-ES"/>
              </w:rPr>
              <w:t>%</w:t>
            </w:r>
          </w:p>
        </w:tc>
      </w:tr>
      <w:tr w:rsidR="00337F47" w:rsidRPr="005805E3" w14:paraId="717E69F6" w14:textId="77777777" w:rsidTr="00E066D7">
        <w:trPr>
          <w:trHeight w:val="332"/>
        </w:trPr>
        <w:tc>
          <w:tcPr>
            <w:tcW w:w="3496" w:type="dxa"/>
            <w:tcBorders>
              <w:top w:val="nil"/>
              <w:left w:val="nil"/>
              <w:bottom w:val="nil"/>
              <w:right w:val="nil"/>
            </w:tcBorders>
            <w:shd w:val="clear" w:color="auto" w:fill="auto"/>
            <w:noWrap/>
            <w:vAlign w:val="bottom"/>
            <w:hideMark/>
          </w:tcPr>
          <w:p w14:paraId="47E702AD" w14:textId="77777777" w:rsidR="00337F47" w:rsidRPr="005805E3" w:rsidRDefault="00337F47" w:rsidP="00695E28">
            <w:pPr>
              <w:spacing w:after="0" w:line="240" w:lineRule="auto"/>
              <w:rPr>
                <w:rFonts w:eastAsia="Times New Roman" w:cs="Calibri"/>
                <w:b/>
                <w:bCs/>
                <w:color w:val="000000"/>
                <w:sz w:val="14"/>
                <w:szCs w:val="14"/>
                <w:lang w:eastAsia="es-ES"/>
              </w:rPr>
            </w:pPr>
            <w:r w:rsidRPr="005805E3">
              <w:rPr>
                <w:rFonts w:eastAsia="Times New Roman" w:cs="Calibri"/>
                <w:b/>
                <w:bCs/>
                <w:color w:val="000000"/>
                <w:sz w:val="14"/>
                <w:szCs w:val="14"/>
                <w:lang w:eastAsia="es-ES"/>
              </w:rPr>
              <w:t xml:space="preserve">    Servicios exteriores</w:t>
            </w:r>
          </w:p>
        </w:tc>
        <w:tc>
          <w:tcPr>
            <w:tcW w:w="972" w:type="dxa"/>
            <w:tcBorders>
              <w:top w:val="nil"/>
              <w:left w:val="nil"/>
              <w:bottom w:val="nil"/>
              <w:right w:val="nil"/>
            </w:tcBorders>
            <w:shd w:val="clear" w:color="auto" w:fill="auto"/>
            <w:noWrap/>
            <w:vAlign w:val="center"/>
            <w:hideMark/>
          </w:tcPr>
          <w:p w14:paraId="045E70A8" w14:textId="77777777" w:rsidR="00337F47" w:rsidRPr="005805E3" w:rsidRDefault="00337F47" w:rsidP="00695E28">
            <w:pPr>
              <w:spacing w:after="0" w:line="240" w:lineRule="auto"/>
              <w:rPr>
                <w:rFonts w:eastAsia="Times New Roman" w:cs="Calibri"/>
                <w:b/>
                <w:bCs/>
                <w:color w:val="000000"/>
                <w:sz w:val="14"/>
                <w:szCs w:val="14"/>
                <w:lang w:eastAsia="es-ES"/>
              </w:rPr>
            </w:pPr>
          </w:p>
        </w:tc>
        <w:tc>
          <w:tcPr>
            <w:tcW w:w="1249" w:type="dxa"/>
            <w:tcBorders>
              <w:top w:val="nil"/>
              <w:left w:val="nil"/>
              <w:bottom w:val="nil"/>
              <w:right w:val="nil"/>
            </w:tcBorders>
            <w:shd w:val="clear" w:color="auto" w:fill="auto"/>
            <w:noWrap/>
            <w:vAlign w:val="bottom"/>
            <w:hideMark/>
          </w:tcPr>
          <w:p w14:paraId="36148D49" w14:textId="10890C41" w:rsidR="00337F47" w:rsidRPr="005805E3" w:rsidRDefault="00337F47" w:rsidP="00E066D7">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w:t>
            </w:r>
            <w:r w:rsidR="00F8329E">
              <w:rPr>
                <w:rFonts w:eastAsia="Times New Roman" w:cs="Calibri"/>
                <w:b/>
                <w:bCs/>
                <w:sz w:val="14"/>
                <w:szCs w:val="14"/>
                <w:lang w:eastAsia="es-ES"/>
              </w:rPr>
              <w:t>14.875.904</w:t>
            </w:r>
            <w:r w:rsidRPr="005805E3">
              <w:rPr>
                <w:rFonts w:eastAsia="Times New Roman" w:cs="Calibri"/>
                <w:b/>
                <w:bCs/>
                <w:sz w:val="14"/>
                <w:szCs w:val="14"/>
                <w:lang w:eastAsia="es-ES"/>
              </w:rPr>
              <w:t>)</w:t>
            </w:r>
          </w:p>
        </w:tc>
        <w:tc>
          <w:tcPr>
            <w:tcW w:w="1318" w:type="dxa"/>
            <w:tcBorders>
              <w:top w:val="nil"/>
              <w:left w:val="nil"/>
              <w:bottom w:val="nil"/>
              <w:right w:val="nil"/>
            </w:tcBorders>
            <w:shd w:val="clear" w:color="auto" w:fill="auto"/>
            <w:noWrap/>
            <w:vAlign w:val="bottom"/>
            <w:hideMark/>
          </w:tcPr>
          <w:p w14:paraId="4D7D0275" w14:textId="63D7780B" w:rsidR="00337F47" w:rsidRPr="005805E3" w:rsidRDefault="00337F47" w:rsidP="00E066D7">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w:t>
            </w:r>
            <w:r w:rsidR="00F8329E">
              <w:rPr>
                <w:rFonts w:eastAsia="Times New Roman" w:cs="Calibri"/>
                <w:b/>
                <w:bCs/>
                <w:sz w:val="14"/>
                <w:szCs w:val="14"/>
                <w:lang w:eastAsia="es-ES"/>
              </w:rPr>
              <w:t>17.</w:t>
            </w:r>
            <w:r w:rsidR="007B55AC">
              <w:rPr>
                <w:rFonts w:eastAsia="Times New Roman" w:cs="Calibri"/>
                <w:b/>
                <w:bCs/>
                <w:sz w:val="14"/>
                <w:szCs w:val="14"/>
                <w:lang w:eastAsia="es-ES"/>
              </w:rPr>
              <w:t>4</w:t>
            </w:r>
            <w:r w:rsidR="00F8329E">
              <w:rPr>
                <w:rFonts w:eastAsia="Times New Roman" w:cs="Calibri"/>
                <w:b/>
                <w:bCs/>
                <w:sz w:val="14"/>
                <w:szCs w:val="14"/>
                <w:lang w:eastAsia="es-ES"/>
              </w:rPr>
              <w:t>15.070</w:t>
            </w:r>
            <w:r w:rsidRPr="005805E3">
              <w:rPr>
                <w:rFonts w:eastAsia="Times New Roman" w:cs="Calibri"/>
                <w:b/>
                <w:bCs/>
                <w:sz w:val="14"/>
                <w:szCs w:val="14"/>
                <w:lang w:eastAsia="es-ES"/>
              </w:rPr>
              <w:t>)</w:t>
            </w:r>
          </w:p>
        </w:tc>
        <w:tc>
          <w:tcPr>
            <w:tcW w:w="1172" w:type="dxa"/>
            <w:tcBorders>
              <w:top w:val="nil"/>
              <w:left w:val="nil"/>
              <w:bottom w:val="nil"/>
              <w:right w:val="nil"/>
            </w:tcBorders>
            <w:shd w:val="clear" w:color="000000" w:fill="FFFFFF"/>
            <w:noWrap/>
            <w:vAlign w:val="bottom"/>
            <w:hideMark/>
          </w:tcPr>
          <w:p w14:paraId="4FD433A5" w14:textId="1653CB6A" w:rsidR="00337F47" w:rsidRPr="005805E3" w:rsidRDefault="00424D92" w:rsidP="00E066D7">
            <w:pPr>
              <w:spacing w:after="0" w:line="240" w:lineRule="auto"/>
              <w:jc w:val="center"/>
              <w:rPr>
                <w:rFonts w:eastAsia="Times New Roman" w:cs="Calibri"/>
                <w:b/>
                <w:bCs/>
                <w:color w:val="000000"/>
                <w:sz w:val="14"/>
                <w:szCs w:val="14"/>
                <w:lang w:eastAsia="es-ES"/>
              </w:rPr>
            </w:pPr>
            <w:r>
              <w:rPr>
                <w:rFonts w:eastAsia="Times New Roman" w:cs="Calibri"/>
                <w:b/>
                <w:bCs/>
                <w:color w:val="000000"/>
                <w:sz w:val="14"/>
                <w:szCs w:val="14"/>
                <w:lang w:eastAsia="es-ES"/>
              </w:rPr>
              <w:t>2.</w:t>
            </w:r>
            <w:r w:rsidR="007B55AC">
              <w:rPr>
                <w:rFonts w:eastAsia="Times New Roman" w:cs="Calibri"/>
                <w:b/>
                <w:bCs/>
                <w:color w:val="000000"/>
                <w:sz w:val="14"/>
                <w:szCs w:val="14"/>
                <w:lang w:eastAsia="es-ES"/>
              </w:rPr>
              <w:t>5</w:t>
            </w:r>
            <w:r>
              <w:rPr>
                <w:rFonts w:eastAsia="Times New Roman" w:cs="Calibri"/>
                <w:b/>
                <w:bCs/>
                <w:color w:val="000000"/>
                <w:sz w:val="14"/>
                <w:szCs w:val="14"/>
                <w:lang w:eastAsia="es-ES"/>
              </w:rPr>
              <w:t>39</w:t>
            </w:r>
            <w:r w:rsidR="00F8329E">
              <w:rPr>
                <w:rFonts w:eastAsia="Times New Roman" w:cs="Calibri"/>
                <w:b/>
                <w:bCs/>
                <w:color w:val="000000"/>
                <w:sz w:val="14"/>
                <w:szCs w:val="14"/>
                <w:lang w:eastAsia="es-ES"/>
              </w:rPr>
              <w:t>.166</w:t>
            </w:r>
          </w:p>
        </w:tc>
        <w:tc>
          <w:tcPr>
            <w:tcW w:w="585" w:type="dxa"/>
            <w:tcBorders>
              <w:top w:val="nil"/>
              <w:left w:val="nil"/>
              <w:bottom w:val="nil"/>
              <w:right w:val="nil"/>
            </w:tcBorders>
            <w:shd w:val="clear" w:color="000000" w:fill="FFFFFF"/>
            <w:noWrap/>
            <w:vAlign w:val="bottom"/>
            <w:hideMark/>
          </w:tcPr>
          <w:p w14:paraId="1ACE256C" w14:textId="0F8C747E" w:rsidR="00337F47" w:rsidRPr="005805E3" w:rsidRDefault="00337F47" w:rsidP="00E066D7">
            <w:pPr>
              <w:spacing w:after="0" w:line="240" w:lineRule="auto"/>
              <w:jc w:val="center"/>
              <w:rPr>
                <w:rFonts w:eastAsia="Times New Roman" w:cs="Calibri"/>
                <w:b/>
                <w:bCs/>
                <w:color w:val="000000"/>
                <w:sz w:val="14"/>
                <w:szCs w:val="14"/>
                <w:lang w:eastAsia="es-ES"/>
              </w:rPr>
            </w:pPr>
            <w:r w:rsidRPr="005805E3">
              <w:rPr>
                <w:rFonts w:eastAsia="Times New Roman" w:cs="Calibri"/>
                <w:b/>
                <w:bCs/>
                <w:color w:val="000000"/>
                <w:sz w:val="14"/>
                <w:szCs w:val="14"/>
                <w:lang w:eastAsia="es-ES"/>
              </w:rPr>
              <w:t>1</w:t>
            </w:r>
            <w:r w:rsidR="007B55AC">
              <w:rPr>
                <w:rFonts w:eastAsia="Times New Roman" w:cs="Calibri"/>
                <w:b/>
                <w:bCs/>
                <w:color w:val="000000"/>
                <w:sz w:val="14"/>
                <w:szCs w:val="14"/>
                <w:lang w:eastAsia="es-ES"/>
              </w:rPr>
              <w:t>7</w:t>
            </w:r>
            <w:r w:rsidRPr="005805E3">
              <w:rPr>
                <w:rFonts w:eastAsia="Times New Roman" w:cs="Calibri"/>
                <w:b/>
                <w:bCs/>
                <w:color w:val="000000"/>
                <w:sz w:val="14"/>
                <w:szCs w:val="14"/>
                <w:lang w:eastAsia="es-ES"/>
              </w:rPr>
              <w:t>%</w:t>
            </w:r>
          </w:p>
        </w:tc>
      </w:tr>
      <w:tr w:rsidR="00337F47" w:rsidRPr="005805E3" w14:paraId="03B81668" w14:textId="77777777" w:rsidTr="00E066D7">
        <w:trPr>
          <w:trHeight w:val="332"/>
        </w:trPr>
        <w:tc>
          <w:tcPr>
            <w:tcW w:w="3496" w:type="dxa"/>
            <w:tcBorders>
              <w:top w:val="nil"/>
              <w:left w:val="nil"/>
              <w:bottom w:val="nil"/>
              <w:right w:val="nil"/>
            </w:tcBorders>
            <w:shd w:val="clear" w:color="auto" w:fill="auto"/>
            <w:noWrap/>
            <w:vAlign w:val="bottom"/>
            <w:hideMark/>
          </w:tcPr>
          <w:p w14:paraId="19B3F862" w14:textId="77777777" w:rsidR="00337F47" w:rsidRPr="005805E3" w:rsidRDefault="00337F47" w:rsidP="00695E28">
            <w:pPr>
              <w:spacing w:after="0" w:line="240" w:lineRule="auto"/>
              <w:rPr>
                <w:rFonts w:eastAsia="Times New Roman" w:cs="Calibri"/>
                <w:color w:val="000000"/>
                <w:sz w:val="14"/>
                <w:szCs w:val="14"/>
                <w:lang w:eastAsia="es-ES"/>
              </w:rPr>
            </w:pPr>
            <w:r w:rsidRPr="005805E3">
              <w:rPr>
                <w:rFonts w:eastAsia="Times New Roman" w:cs="Calibri"/>
                <w:color w:val="000000"/>
                <w:sz w:val="14"/>
                <w:szCs w:val="14"/>
                <w:lang w:eastAsia="es-ES"/>
              </w:rPr>
              <w:t>Alquileres y cánones</w:t>
            </w:r>
          </w:p>
        </w:tc>
        <w:tc>
          <w:tcPr>
            <w:tcW w:w="972" w:type="dxa"/>
            <w:tcBorders>
              <w:top w:val="nil"/>
              <w:left w:val="nil"/>
              <w:bottom w:val="nil"/>
              <w:right w:val="nil"/>
            </w:tcBorders>
            <w:shd w:val="clear" w:color="auto" w:fill="auto"/>
            <w:noWrap/>
            <w:vAlign w:val="center"/>
            <w:hideMark/>
          </w:tcPr>
          <w:p w14:paraId="284C7E60" w14:textId="77777777" w:rsidR="00337F47" w:rsidRPr="005805E3" w:rsidRDefault="00337F47" w:rsidP="00695E28">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621</w:t>
            </w:r>
          </w:p>
        </w:tc>
        <w:tc>
          <w:tcPr>
            <w:tcW w:w="1249" w:type="dxa"/>
            <w:tcBorders>
              <w:top w:val="nil"/>
              <w:left w:val="nil"/>
              <w:bottom w:val="nil"/>
              <w:right w:val="nil"/>
            </w:tcBorders>
            <w:shd w:val="clear" w:color="auto" w:fill="auto"/>
            <w:noWrap/>
            <w:vAlign w:val="bottom"/>
            <w:hideMark/>
          </w:tcPr>
          <w:p w14:paraId="1998FA40" w14:textId="566C4256" w:rsidR="00337F47" w:rsidRPr="005805E3" w:rsidRDefault="00337F47" w:rsidP="00E066D7">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sidR="00F8329E">
              <w:rPr>
                <w:rFonts w:eastAsia="Times New Roman" w:cs="Calibri"/>
                <w:sz w:val="14"/>
                <w:szCs w:val="14"/>
                <w:lang w:eastAsia="es-ES"/>
              </w:rPr>
              <w:t>232.077</w:t>
            </w:r>
            <w:r w:rsidRPr="005805E3">
              <w:rPr>
                <w:rFonts w:eastAsia="Times New Roman" w:cs="Calibri"/>
                <w:sz w:val="14"/>
                <w:szCs w:val="14"/>
                <w:lang w:eastAsia="es-ES"/>
              </w:rPr>
              <w:t>)</w:t>
            </w:r>
          </w:p>
        </w:tc>
        <w:tc>
          <w:tcPr>
            <w:tcW w:w="1318" w:type="dxa"/>
            <w:tcBorders>
              <w:top w:val="nil"/>
              <w:left w:val="nil"/>
              <w:bottom w:val="nil"/>
              <w:right w:val="nil"/>
            </w:tcBorders>
            <w:shd w:val="clear" w:color="auto" w:fill="auto"/>
            <w:noWrap/>
            <w:vAlign w:val="bottom"/>
            <w:hideMark/>
          </w:tcPr>
          <w:p w14:paraId="1CC526C5" w14:textId="21A1429A" w:rsidR="00337F47" w:rsidRPr="005805E3" w:rsidRDefault="00337F47" w:rsidP="00E066D7">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sidR="00F8329E">
              <w:rPr>
                <w:rFonts w:eastAsia="Times New Roman" w:cs="Calibri"/>
                <w:sz w:val="14"/>
                <w:szCs w:val="14"/>
                <w:lang w:eastAsia="es-ES"/>
              </w:rPr>
              <w:t>287.816)</w:t>
            </w:r>
          </w:p>
        </w:tc>
        <w:tc>
          <w:tcPr>
            <w:tcW w:w="1172" w:type="dxa"/>
            <w:tcBorders>
              <w:top w:val="nil"/>
              <w:left w:val="nil"/>
              <w:bottom w:val="nil"/>
              <w:right w:val="nil"/>
            </w:tcBorders>
            <w:shd w:val="clear" w:color="000000" w:fill="FFFFFF"/>
            <w:noWrap/>
            <w:vAlign w:val="bottom"/>
            <w:hideMark/>
          </w:tcPr>
          <w:p w14:paraId="526D0BE9" w14:textId="06005BB5" w:rsidR="00337F47" w:rsidRPr="005805E3" w:rsidRDefault="00F8329E" w:rsidP="00E066D7">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55.739</w:t>
            </w:r>
          </w:p>
        </w:tc>
        <w:tc>
          <w:tcPr>
            <w:tcW w:w="585" w:type="dxa"/>
            <w:tcBorders>
              <w:top w:val="nil"/>
              <w:left w:val="nil"/>
              <w:bottom w:val="nil"/>
              <w:right w:val="nil"/>
            </w:tcBorders>
            <w:shd w:val="clear" w:color="000000" w:fill="FFFFFF"/>
            <w:noWrap/>
            <w:vAlign w:val="bottom"/>
            <w:hideMark/>
          </w:tcPr>
          <w:p w14:paraId="3C6EDA43" w14:textId="3C751F1A" w:rsidR="00337F47" w:rsidRPr="005805E3" w:rsidRDefault="00F8329E" w:rsidP="00E066D7">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24</w:t>
            </w:r>
            <w:r w:rsidR="00337F47" w:rsidRPr="005805E3">
              <w:rPr>
                <w:rFonts w:eastAsia="Times New Roman" w:cs="Calibri"/>
                <w:color w:val="000000"/>
                <w:sz w:val="14"/>
                <w:szCs w:val="14"/>
                <w:lang w:eastAsia="es-ES"/>
              </w:rPr>
              <w:t>%</w:t>
            </w:r>
          </w:p>
        </w:tc>
      </w:tr>
      <w:tr w:rsidR="00337F47" w:rsidRPr="005805E3" w14:paraId="4D1417D2" w14:textId="77777777" w:rsidTr="00E066D7">
        <w:trPr>
          <w:trHeight w:val="332"/>
        </w:trPr>
        <w:tc>
          <w:tcPr>
            <w:tcW w:w="3496" w:type="dxa"/>
            <w:tcBorders>
              <w:top w:val="nil"/>
              <w:left w:val="nil"/>
              <w:bottom w:val="nil"/>
              <w:right w:val="nil"/>
            </w:tcBorders>
            <w:shd w:val="clear" w:color="auto" w:fill="auto"/>
            <w:noWrap/>
            <w:vAlign w:val="bottom"/>
            <w:hideMark/>
          </w:tcPr>
          <w:p w14:paraId="484053FF" w14:textId="77777777" w:rsidR="00337F47" w:rsidRPr="005805E3" w:rsidRDefault="00337F47" w:rsidP="00695E28">
            <w:pPr>
              <w:spacing w:after="0" w:line="240" w:lineRule="auto"/>
              <w:rPr>
                <w:rFonts w:eastAsia="Times New Roman" w:cs="Calibri"/>
                <w:color w:val="000000"/>
                <w:sz w:val="14"/>
                <w:szCs w:val="14"/>
                <w:lang w:eastAsia="es-ES"/>
              </w:rPr>
            </w:pPr>
            <w:r w:rsidRPr="005805E3">
              <w:rPr>
                <w:rFonts w:eastAsia="Times New Roman" w:cs="Calibri"/>
                <w:color w:val="000000"/>
                <w:sz w:val="14"/>
                <w:szCs w:val="14"/>
                <w:lang w:eastAsia="es-ES"/>
              </w:rPr>
              <w:t>Reparaciones y conservación</w:t>
            </w:r>
          </w:p>
        </w:tc>
        <w:tc>
          <w:tcPr>
            <w:tcW w:w="972" w:type="dxa"/>
            <w:tcBorders>
              <w:top w:val="nil"/>
              <w:left w:val="nil"/>
              <w:bottom w:val="nil"/>
              <w:right w:val="nil"/>
            </w:tcBorders>
            <w:shd w:val="clear" w:color="auto" w:fill="auto"/>
            <w:noWrap/>
            <w:vAlign w:val="center"/>
            <w:hideMark/>
          </w:tcPr>
          <w:p w14:paraId="66E32AA9" w14:textId="77777777" w:rsidR="00337F47" w:rsidRPr="005805E3" w:rsidRDefault="00337F47" w:rsidP="00695E28">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622</w:t>
            </w:r>
          </w:p>
        </w:tc>
        <w:tc>
          <w:tcPr>
            <w:tcW w:w="1249" w:type="dxa"/>
            <w:tcBorders>
              <w:top w:val="nil"/>
              <w:left w:val="nil"/>
              <w:bottom w:val="nil"/>
              <w:right w:val="nil"/>
            </w:tcBorders>
            <w:shd w:val="clear" w:color="auto" w:fill="auto"/>
            <w:noWrap/>
            <w:vAlign w:val="bottom"/>
            <w:hideMark/>
          </w:tcPr>
          <w:p w14:paraId="33E88B1C" w14:textId="50107651" w:rsidR="00337F47" w:rsidRPr="005805E3" w:rsidRDefault="00337F47" w:rsidP="00E066D7">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sidR="00754B0A">
              <w:rPr>
                <w:rFonts w:eastAsia="Times New Roman" w:cs="Calibri"/>
                <w:sz w:val="14"/>
                <w:szCs w:val="14"/>
                <w:lang w:eastAsia="es-ES"/>
              </w:rPr>
              <w:t>53.444</w:t>
            </w:r>
            <w:r w:rsidRPr="005805E3">
              <w:rPr>
                <w:rFonts w:eastAsia="Times New Roman" w:cs="Calibri"/>
                <w:sz w:val="14"/>
                <w:szCs w:val="14"/>
                <w:lang w:eastAsia="es-ES"/>
              </w:rPr>
              <w:t>)</w:t>
            </w:r>
          </w:p>
        </w:tc>
        <w:tc>
          <w:tcPr>
            <w:tcW w:w="1318" w:type="dxa"/>
            <w:tcBorders>
              <w:top w:val="nil"/>
              <w:left w:val="nil"/>
              <w:bottom w:val="nil"/>
              <w:right w:val="nil"/>
            </w:tcBorders>
            <w:shd w:val="clear" w:color="auto" w:fill="auto"/>
            <w:noWrap/>
            <w:vAlign w:val="bottom"/>
            <w:hideMark/>
          </w:tcPr>
          <w:p w14:paraId="7B2D725B" w14:textId="2EBE6F37" w:rsidR="00337F47" w:rsidRPr="005805E3" w:rsidRDefault="00337F47" w:rsidP="00E066D7">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sidR="00754B0A">
              <w:rPr>
                <w:rFonts w:eastAsia="Times New Roman" w:cs="Calibri"/>
                <w:sz w:val="14"/>
                <w:szCs w:val="14"/>
                <w:lang w:eastAsia="es-ES"/>
              </w:rPr>
              <w:t>58.201</w:t>
            </w:r>
            <w:r w:rsidRPr="005805E3">
              <w:rPr>
                <w:rFonts w:eastAsia="Times New Roman" w:cs="Calibri"/>
                <w:sz w:val="14"/>
                <w:szCs w:val="14"/>
                <w:lang w:eastAsia="es-ES"/>
              </w:rPr>
              <w:t>)</w:t>
            </w:r>
          </w:p>
        </w:tc>
        <w:tc>
          <w:tcPr>
            <w:tcW w:w="1172" w:type="dxa"/>
            <w:tcBorders>
              <w:top w:val="nil"/>
              <w:left w:val="nil"/>
              <w:bottom w:val="nil"/>
              <w:right w:val="nil"/>
            </w:tcBorders>
            <w:shd w:val="clear" w:color="000000" w:fill="FFFFFF"/>
            <w:noWrap/>
            <w:vAlign w:val="bottom"/>
            <w:hideMark/>
          </w:tcPr>
          <w:p w14:paraId="19890E50" w14:textId="43F67CE0" w:rsidR="00337F47" w:rsidRPr="005805E3" w:rsidRDefault="00754B0A" w:rsidP="00E066D7">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4.757</w:t>
            </w:r>
          </w:p>
        </w:tc>
        <w:tc>
          <w:tcPr>
            <w:tcW w:w="585" w:type="dxa"/>
            <w:tcBorders>
              <w:top w:val="nil"/>
              <w:left w:val="nil"/>
              <w:bottom w:val="nil"/>
              <w:right w:val="nil"/>
            </w:tcBorders>
            <w:shd w:val="clear" w:color="000000" w:fill="FFFFFF"/>
            <w:noWrap/>
            <w:vAlign w:val="bottom"/>
            <w:hideMark/>
          </w:tcPr>
          <w:p w14:paraId="39F6D347" w14:textId="40CD8498" w:rsidR="00337F47" w:rsidRPr="005805E3" w:rsidRDefault="00F8329E" w:rsidP="00E066D7">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9</w:t>
            </w:r>
            <w:r w:rsidR="00337F47" w:rsidRPr="005805E3">
              <w:rPr>
                <w:rFonts w:eastAsia="Times New Roman" w:cs="Calibri"/>
                <w:color w:val="000000"/>
                <w:sz w:val="14"/>
                <w:szCs w:val="14"/>
                <w:lang w:eastAsia="es-ES"/>
              </w:rPr>
              <w:t>%</w:t>
            </w:r>
          </w:p>
        </w:tc>
      </w:tr>
      <w:tr w:rsidR="00337F47" w:rsidRPr="005805E3" w14:paraId="036CAAD9" w14:textId="77777777" w:rsidTr="00E066D7">
        <w:trPr>
          <w:trHeight w:val="332"/>
        </w:trPr>
        <w:tc>
          <w:tcPr>
            <w:tcW w:w="3496" w:type="dxa"/>
            <w:tcBorders>
              <w:top w:val="nil"/>
              <w:left w:val="nil"/>
              <w:bottom w:val="nil"/>
              <w:right w:val="nil"/>
            </w:tcBorders>
            <w:shd w:val="clear" w:color="auto" w:fill="auto"/>
            <w:noWrap/>
            <w:vAlign w:val="bottom"/>
            <w:hideMark/>
          </w:tcPr>
          <w:p w14:paraId="16E2A2A4" w14:textId="77777777" w:rsidR="00337F47" w:rsidRPr="005805E3" w:rsidRDefault="00337F47" w:rsidP="00695E28">
            <w:pPr>
              <w:spacing w:after="0" w:line="240" w:lineRule="auto"/>
              <w:rPr>
                <w:rFonts w:eastAsia="Times New Roman" w:cs="Calibri"/>
                <w:color w:val="000000"/>
                <w:sz w:val="14"/>
                <w:szCs w:val="14"/>
                <w:lang w:eastAsia="es-ES"/>
              </w:rPr>
            </w:pPr>
            <w:r w:rsidRPr="005805E3">
              <w:rPr>
                <w:rFonts w:eastAsia="Times New Roman" w:cs="Calibri"/>
                <w:color w:val="000000"/>
                <w:sz w:val="14"/>
                <w:szCs w:val="14"/>
                <w:lang w:eastAsia="es-ES"/>
              </w:rPr>
              <w:t>Servicios profesionales independientes</w:t>
            </w:r>
          </w:p>
        </w:tc>
        <w:tc>
          <w:tcPr>
            <w:tcW w:w="972" w:type="dxa"/>
            <w:tcBorders>
              <w:top w:val="nil"/>
              <w:left w:val="nil"/>
              <w:bottom w:val="nil"/>
              <w:right w:val="nil"/>
            </w:tcBorders>
            <w:shd w:val="clear" w:color="auto" w:fill="auto"/>
            <w:noWrap/>
            <w:vAlign w:val="center"/>
            <w:hideMark/>
          </w:tcPr>
          <w:p w14:paraId="0F862EC5" w14:textId="77777777" w:rsidR="00337F47" w:rsidRPr="005805E3" w:rsidRDefault="00337F47" w:rsidP="00695E28">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623</w:t>
            </w:r>
          </w:p>
        </w:tc>
        <w:tc>
          <w:tcPr>
            <w:tcW w:w="1249" w:type="dxa"/>
            <w:tcBorders>
              <w:top w:val="nil"/>
              <w:left w:val="nil"/>
              <w:bottom w:val="nil"/>
              <w:right w:val="nil"/>
            </w:tcBorders>
            <w:shd w:val="clear" w:color="auto" w:fill="auto"/>
            <w:noWrap/>
            <w:vAlign w:val="bottom"/>
            <w:hideMark/>
          </w:tcPr>
          <w:p w14:paraId="29BCF018" w14:textId="44BB5CB2" w:rsidR="00337F47" w:rsidRPr="005805E3" w:rsidRDefault="00337F47" w:rsidP="00E066D7">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sidR="00754B0A">
              <w:rPr>
                <w:rFonts w:eastAsia="Times New Roman" w:cs="Calibri"/>
                <w:sz w:val="14"/>
                <w:szCs w:val="14"/>
                <w:lang w:eastAsia="es-ES"/>
              </w:rPr>
              <w:t>12.959.104</w:t>
            </w:r>
            <w:r w:rsidRPr="005805E3">
              <w:rPr>
                <w:rFonts w:eastAsia="Times New Roman" w:cs="Calibri"/>
                <w:sz w:val="14"/>
                <w:szCs w:val="14"/>
                <w:lang w:eastAsia="es-ES"/>
              </w:rPr>
              <w:t>)</w:t>
            </w:r>
          </w:p>
        </w:tc>
        <w:tc>
          <w:tcPr>
            <w:tcW w:w="1318" w:type="dxa"/>
            <w:tcBorders>
              <w:top w:val="nil"/>
              <w:left w:val="nil"/>
              <w:bottom w:val="nil"/>
              <w:right w:val="nil"/>
            </w:tcBorders>
            <w:shd w:val="clear" w:color="auto" w:fill="auto"/>
            <w:noWrap/>
            <w:vAlign w:val="bottom"/>
            <w:hideMark/>
          </w:tcPr>
          <w:p w14:paraId="505388DB" w14:textId="09C8939E" w:rsidR="00337F47" w:rsidRPr="005805E3" w:rsidRDefault="00337F47" w:rsidP="00E066D7">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sidR="00754B0A">
              <w:rPr>
                <w:rFonts w:eastAsia="Times New Roman" w:cs="Calibri"/>
                <w:sz w:val="14"/>
                <w:szCs w:val="14"/>
                <w:lang w:eastAsia="es-ES"/>
              </w:rPr>
              <w:t>14.2</w:t>
            </w:r>
            <w:r w:rsidR="008E19F5">
              <w:rPr>
                <w:rFonts w:eastAsia="Times New Roman" w:cs="Calibri"/>
                <w:sz w:val="14"/>
                <w:szCs w:val="14"/>
                <w:lang w:eastAsia="es-ES"/>
              </w:rPr>
              <w:t>44</w:t>
            </w:r>
            <w:r w:rsidR="00754B0A">
              <w:rPr>
                <w:rFonts w:eastAsia="Times New Roman" w:cs="Calibri"/>
                <w:sz w:val="14"/>
                <w:szCs w:val="14"/>
                <w:lang w:eastAsia="es-ES"/>
              </w:rPr>
              <w:t>.929</w:t>
            </w:r>
            <w:r w:rsidRPr="005805E3">
              <w:rPr>
                <w:rFonts w:eastAsia="Times New Roman" w:cs="Calibri"/>
                <w:sz w:val="14"/>
                <w:szCs w:val="14"/>
                <w:lang w:eastAsia="es-ES"/>
              </w:rPr>
              <w:t>)</w:t>
            </w:r>
          </w:p>
        </w:tc>
        <w:tc>
          <w:tcPr>
            <w:tcW w:w="1172" w:type="dxa"/>
            <w:tcBorders>
              <w:top w:val="nil"/>
              <w:left w:val="nil"/>
              <w:bottom w:val="nil"/>
              <w:right w:val="nil"/>
            </w:tcBorders>
            <w:shd w:val="clear" w:color="000000" w:fill="FFFFFF"/>
            <w:noWrap/>
            <w:vAlign w:val="bottom"/>
            <w:hideMark/>
          </w:tcPr>
          <w:p w14:paraId="2FB625FB" w14:textId="4C79DBA0" w:rsidR="00337F47" w:rsidRPr="005805E3" w:rsidRDefault="00754B0A" w:rsidP="00E066D7">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1.28</w:t>
            </w:r>
            <w:r w:rsidR="008E19F5">
              <w:rPr>
                <w:rFonts w:eastAsia="Times New Roman" w:cs="Calibri"/>
                <w:color w:val="000000"/>
                <w:sz w:val="14"/>
                <w:szCs w:val="14"/>
                <w:lang w:eastAsia="es-ES"/>
              </w:rPr>
              <w:t>5</w:t>
            </w:r>
            <w:r>
              <w:rPr>
                <w:rFonts w:eastAsia="Times New Roman" w:cs="Calibri"/>
                <w:color w:val="000000"/>
                <w:sz w:val="14"/>
                <w:szCs w:val="14"/>
                <w:lang w:eastAsia="es-ES"/>
              </w:rPr>
              <w:t>.825</w:t>
            </w:r>
          </w:p>
        </w:tc>
        <w:tc>
          <w:tcPr>
            <w:tcW w:w="585" w:type="dxa"/>
            <w:tcBorders>
              <w:top w:val="nil"/>
              <w:left w:val="nil"/>
              <w:bottom w:val="nil"/>
              <w:right w:val="nil"/>
            </w:tcBorders>
            <w:shd w:val="clear" w:color="000000" w:fill="FFFFFF"/>
            <w:noWrap/>
            <w:vAlign w:val="bottom"/>
            <w:hideMark/>
          </w:tcPr>
          <w:p w14:paraId="79DBE1A7" w14:textId="672C6959" w:rsidR="00337F47" w:rsidRPr="005805E3" w:rsidRDefault="00754B0A" w:rsidP="00E066D7">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10</w:t>
            </w:r>
            <w:r w:rsidR="00337F47" w:rsidRPr="005805E3">
              <w:rPr>
                <w:rFonts w:eastAsia="Times New Roman" w:cs="Calibri"/>
                <w:color w:val="000000"/>
                <w:sz w:val="14"/>
                <w:szCs w:val="14"/>
                <w:lang w:eastAsia="es-ES"/>
              </w:rPr>
              <w:t>%</w:t>
            </w:r>
          </w:p>
        </w:tc>
      </w:tr>
      <w:tr w:rsidR="00337F47" w:rsidRPr="005805E3" w14:paraId="68BB83BD" w14:textId="77777777" w:rsidTr="00E066D7">
        <w:trPr>
          <w:trHeight w:val="332"/>
        </w:trPr>
        <w:tc>
          <w:tcPr>
            <w:tcW w:w="3496" w:type="dxa"/>
            <w:tcBorders>
              <w:top w:val="nil"/>
              <w:left w:val="nil"/>
              <w:bottom w:val="nil"/>
              <w:right w:val="nil"/>
            </w:tcBorders>
            <w:shd w:val="clear" w:color="auto" w:fill="auto"/>
            <w:noWrap/>
            <w:vAlign w:val="bottom"/>
            <w:hideMark/>
          </w:tcPr>
          <w:p w14:paraId="7AE2FEF3" w14:textId="77777777" w:rsidR="00337F47" w:rsidRPr="005805E3" w:rsidRDefault="00337F47" w:rsidP="00695E28">
            <w:pPr>
              <w:spacing w:after="0" w:line="240" w:lineRule="auto"/>
              <w:rPr>
                <w:rFonts w:eastAsia="Times New Roman" w:cs="Calibri"/>
                <w:color w:val="000000"/>
                <w:sz w:val="14"/>
                <w:szCs w:val="14"/>
                <w:lang w:eastAsia="es-ES"/>
              </w:rPr>
            </w:pPr>
            <w:r w:rsidRPr="005805E3">
              <w:rPr>
                <w:rFonts w:eastAsia="Times New Roman" w:cs="Calibri"/>
                <w:color w:val="000000"/>
                <w:sz w:val="14"/>
                <w:szCs w:val="14"/>
                <w:lang w:eastAsia="es-ES"/>
              </w:rPr>
              <w:t>Transportes</w:t>
            </w:r>
          </w:p>
        </w:tc>
        <w:tc>
          <w:tcPr>
            <w:tcW w:w="972" w:type="dxa"/>
            <w:tcBorders>
              <w:top w:val="nil"/>
              <w:left w:val="nil"/>
              <w:bottom w:val="nil"/>
              <w:right w:val="nil"/>
            </w:tcBorders>
            <w:shd w:val="clear" w:color="auto" w:fill="auto"/>
            <w:noWrap/>
            <w:vAlign w:val="center"/>
            <w:hideMark/>
          </w:tcPr>
          <w:p w14:paraId="715BB25A" w14:textId="77777777" w:rsidR="00337F47" w:rsidRPr="005805E3" w:rsidRDefault="00337F47" w:rsidP="00695E28">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624</w:t>
            </w:r>
          </w:p>
        </w:tc>
        <w:tc>
          <w:tcPr>
            <w:tcW w:w="1249" w:type="dxa"/>
            <w:tcBorders>
              <w:top w:val="nil"/>
              <w:left w:val="nil"/>
              <w:bottom w:val="nil"/>
              <w:right w:val="nil"/>
            </w:tcBorders>
            <w:shd w:val="clear" w:color="auto" w:fill="auto"/>
            <w:noWrap/>
            <w:vAlign w:val="bottom"/>
            <w:hideMark/>
          </w:tcPr>
          <w:p w14:paraId="65D60D1F" w14:textId="44D8F8DC" w:rsidR="00337F47" w:rsidRPr="005805E3" w:rsidRDefault="00337F47" w:rsidP="00E066D7">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sidR="00397213">
              <w:rPr>
                <w:rFonts w:eastAsia="Times New Roman" w:cs="Calibri"/>
                <w:sz w:val="14"/>
                <w:szCs w:val="14"/>
                <w:lang w:eastAsia="es-ES"/>
              </w:rPr>
              <w:t>6.124</w:t>
            </w:r>
            <w:r w:rsidRPr="005805E3">
              <w:rPr>
                <w:rFonts w:eastAsia="Times New Roman" w:cs="Calibri"/>
                <w:sz w:val="14"/>
                <w:szCs w:val="14"/>
                <w:lang w:eastAsia="es-ES"/>
              </w:rPr>
              <w:t>)</w:t>
            </w:r>
          </w:p>
        </w:tc>
        <w:tc>
          <w:tcPr>
            <w:tcW w:w="1318" w:type="dxa"/>
            <w:tcBorders>
              <w:top w:val="nil"/>
              <w:left w:val="nil"/>
              <w:bottom w:val="nil"/>
              <w:right w:val="nil"/>
            </w:tcBorders>
            <w:shd w:val="clear" w:color="auto" w:fill="auto"/>
            <w:noWrap/>
            <w:vAlign w:val="bottom"/>
            <w:hideMark/>
          </w:tcPr>
          <w:p w14:paraId="5FC243CA" w14:textId="77227C5C" w:rsidR="00337F47" w:rsidRPr="005805E3" w:rsidRDefault="00337F47" w:rsidP="00E066D7">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sidR="00397213">
              <w:rPr>
                <w:rFonts w:eastAsia="Times New Roman" w:cs="Calibri"/>
                <w:sz w:val="14"/>
                <w:szCs w:val="14"/>
                <w:lang w:eastAsia="es-ES"/>
              </w:rPr>
              <w:t>5.690</w:t>
            </w:r>
            <w:r w:rsidRPr="005805E3">
              <w:rPr>
                <w:rFonts w:eastAsia="Times New Roman" w:cs="Calibri"/>
                <w:sz w:val="14"/>
                <w:szCs w:val="14"/>
                <w:lang w:eastAsia="es-ES"/>
              </w:rPr>
              <w:t>)</w:t>
            </w:r>
          </w:p>
        </w:tc>
        <w:tc>
          <w:tcPr>
            <w:tcW w:w="1172" w:type="dxa"/>
            <w:tcBorders>
              <w:top w:val="nil"/>
              <w:left w:val="nil"/>
              <w:bottom w:val="nil"/>
              <w:right w:val="nil"/>
            </w:tcBorders>
            <w:shd w:val="clear" w:color="000000" w:fill="FFFFFF"/>
            <w:noWrap/>
            <w:vAlign w:val="bottom"/>
            <w:hideMark/>
          </w:tcPr>
          <w:p w14:paraId="3AAF7AF1" w14:textId="5C5E1FB7" w:rsidR="00337F47" w:rsidRPr="005805E3" w:rsidRDefault="00754B0A" w:rsidP="00E066D7">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(434)</w:t>
            </w:r>
          </w:p>
        </w:tc>
        <w:tc>
          <w:tcPr>
            <w:tcW w:w="585" w:type="dxa"/>
            <w:tcBorders>
              <w:top w:val="nil"/>
              <w:left w:val="nil"/>
              <w:bottom w:val="nil"/>
              <w:right w:val="nil"/>
            </w:tcBorders>
            <w:shd w:val="clear" w:color="000000" w:fill="FFFFFF"/>
            <w:noWrap/>
            <w:vAlign w:val="bottom"/>
            <w:hideMark/>
          </w:tcPr>
          <w:p w14:paraId="790C523A" w14:textId="6FB015C5" w:rsidR="00337F47" w:rsidRPr="005805E3" w:rsidRDefault="00754B0A" w:rsidP="00E066D7">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-7</w:t>
            </w:r>
            <w:r w:rsidR="00337F47" w:rsidRPr="005805E3">
              <w:rPr>
                <w:rFonts w:eastAsia="Times New Roman" w:cs="Calibri"/>
                <w:color w:val="000000"/>
                <w:sz w:val="14"/>
                <w:szCs w:val="14"/>
                <w:lang w:eastAsia="es-ES"/>
              </w:rPr>
              <w:t>%</w:t>
            </w:r>
          </w:p>
        </w:tc>
      </w:tr>
      <w:tr w:rsidR="00337F47" w:rsidRPr="005805E3" w14:paraId="57D53766" w14:textId="77777777" w:rsidTr="00E066D7">
        <w:trPr>
          <w:trHeight w:val="332"/>
        </w:trPr>
        <w:tc>
          <w:tcPr>
            <w:tcW w:w="3496" w:type="dxa"/>
            <w:tcBorders>
              <w:top w:val="nil"/>
              <w:left w:val="nil"/>
              <w:bottom w:val="nil"/>
              <w:right w:val="nil"/>
            </w:tcBorders>
            <w:shd w:val="clear" w:color="auto" w:fill="auto"/>
            <w:noWrap/>
            <w:vAlign w:val="bottom"/>
            <w:hideMark/>
          </w:tcPr>
          <w:p w14:paraId="7CB9CF7C" w14:textId="77777777" w:rsidR="00337F47" w:rsidRPr="005805E3" w:rsidRDefault="00337F47" w:rsidP="00695E28">
            <w:pPr>
              <w:spacing w:after="0" w:line="240" w:lineRule="auto"/>
              <w:rPr>
                <w:rFonts w:eastAsia="Times New Roman" w:cs="Calibri"/>
                <w:color w:val="000000"/>
                <w:sz w:val="14"/>
                <w:szCs w:val="14"/>
                <w:lang w:eastAsia="es-ES"/>
              </w:rPr>
            </w:pPr>
            <w:r w:rsidRPr="005805E3">
              <w:rPr>
                <w:rFonts w:eastAsia="Times New Roman" w:cs="Calibri"/>
                <w:color w:val="000000"/>
                <w:sz w:val="14"/>
                <w:szCs w:val="14"/>
                <w:lang w:eastAsia="es-ES"/>
              </w:rPr>
              <w:t>Primas de seguros</w:t>
            </w:r>
          </w:p>
        </w:tc>
        <w:tc>
          <w:tcPr>
            <w:tcW w:w="972" w:type="dxa"/>
            <w:tcBorders>
              <w:top w:val="nil"/>
              <w:left w:val="nil"/>
              <w:bottom w:val="nil"/>
              <w:right w:val="nil"/>
            </w:tcBorders>
            <w:shd w:val="clear" w:color="auto" w:fill="auto"/>
            <w:noWrap/>
            <w:vAlign w:val="center"/>
            <w:hideMark/>
          </w:tcPr>
          <w:p w14:paraId="7F59C27A" w14:textId="77777777" w:rsidR="00337F47" w:rsidRPr="005805E3" w:rsidRDefault="00337F47" w:rsidP="00695E28">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625</w:t>
            </w:r>
          </w:p>
        </w:tc>
        <w:tc>
          <w:tcPr>
            <w:tcW w:w="1249" w:type="dxa"/>
            <w:tcBorders>
              <w:top w:val="nil"/>
              <w:left w:val="nil"/>
              <w:bottom w:val="nil"/>
              <w:right w:val="nil"/>
            </w:tcBorders>
            <w:shd w:val="clear" w:color="auto" w:fill="auto"/>
            <w:noWrap/>
            <w:vAlign w:val="bottom"/>
            <w:hideMark/>
          </w:tcPr>
          <w:p w14:paraId="3186BB08" w14:textId="59665B04" w:rsidR="00337F47" w:rsidRPr="005805E3" w:rsidRDefault="00337F47" w:rsidP="00E066D7">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sidR="00397213">
              <w:rPr>
                <w:rFonts w:eastAsia="Times New Roman" w:cs="Calibri"/>
                <w:sz w:val="14"/>
                <w:szCs w:val="14"/>
                <w:lang w:eastAsia="es-ES"/>
              </w:rPr>
              <w:t>2.710</w:t>
            </w:r>
            <w:r w:rsidRPr="005805E3">
              <w:rPr>
                <w:rFonts w:eastAsia="Times New Roman" w:cs="Calibri"/>
                <w:sz w:val="14"/>
                <w:szCs w:val="14"/>
                <w:lang w:eastAsia="es-ES"/>
              </w:rPr>
              <w:t>)</w:t>
            </w:r>
          </w:p>
        </w:tc>
        <w:tc>
          <w:tcPr>
            <w:tcW w:w="1318" w:type="dxa"/>
            <w:tcBorders>
              <w:top w:val="nil"/>
              <w:left w:val="nil"/>
              <w:bottom w:val="nil"/>
              <w:right w:val="nil"/>
            </w:tcBorders>
            <w:shd w:val="clear" w:color="auto" w:fill="auto"/>
            <w:noWrap/>
            <w:vAlign w:val="bottom"/>
            <w:hideMark/>
          </w:tcPr>
          <w:p w14:paraId="18C1ED5D" w14:textId="168D0D0B" w:rsidR="00337F47" w:rsidRPr="005805E3" w:rsidRDefault="00337F47" w:rsidP="00E066D7">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sidR="00397213">
              <w:rPr>
                <w:rFonts w:eastAsia="Times New Roman" w:cs="Calibri"/>
                <w:sz w:val="14"/>
                <w:szCs w:val="14"/>
                <w:lang w:eastAsia="es-ES"/>
              </w:rPr>
              <w:t>2.505)</w:t>
            </w:r>
          </w:p>
        </w:tc>
        <w:tc>
          <w:tcPr>
            <w:tcW w:w="1172" w:type="dxa"/>
            <w:tcBorders>
              <w:top w:val="nil"/>
              <w:left w:val="nil"/>
              <w:bottom w:val="nil"/>
              <w:right w:val="nil"/>
            </w:tcBorders>
            <w:shd w:val="clear" w:color="000000" w:fill="FFFFFF"/>
            <w:noWrap/>
            <w:vAlign w:val="bottom"/>
            <w:hideMark/>
          </w:tcPr>
          <w:p w14:paraId="62BBB8E3" w14:textId="527347B9" w:rsidR="00337F47" w:rsidRPr="005805E3" w:rsidRDefault="00337F47" w:rsidP="00E066D7">
            <w:pPr>
              <w:spacing w:after="0" w:line="240" w:lineRule="auto"/>
              <w:jc w:val="center"/>
              <w:rPr>
                <w:rFonts w:eastAsia="Times New Roman" w:cs="Calibri"/>
                <w:color w:val="000000"/>
                <w:sz w:val="14"/>
                <w:szCs w:val="14"/>
                <w:lang w:eastAsia="es-ES"/>
              </w:rPr>
            </w:pPr>
            <w:r w:rsidRPr="005805E3">
              <w:rPr>
                <w:rFonts w:eastAsia="Times New Roman" w:cs="Calibri"/>
                <w:color w:val="000000"/>
                <w:sz w:val="14"/>
                <w:szCs w:val="14"/>
                <w:lang w:eastAsia="es-ES"/>
              </w:rPr>
              <w:t>(</w:t>
            </w:r>
            <w:r w:rsidR="00397213">
              <w:rPr>
                <w:rFonts w:eastAsia="Times New Roman" w:cs="Calibri"/>
                <w:color w:val="000000"/>
                <w:sz w:val="14"/>
                <w:szCs w:val="14"/>
                <w:lang w:eastAsia="es-ES"/>
              </w:rPr>
              <w:t>205</w:t>
            </w:r>
            <w:r w:rsidRPr="005805E3">
              <w:rPr>
                <w:rFonts w:eastAsia="Times New Roman" w:cs="Calibri"/>
                <w:color w:val="000000"/>
                <w:sz w:val="14"/>
                <w:szCs w:val="14"/>
                <w:lang w:eastAsia="es-ES"/>
              </w:rPr>
              <w:t>)</w:t>
            </w:r>
          </w:p>
        </w:tc>
        <w:tc>
          <w:tcPr>
            <w:tcW w:w="585" w:type="dxa"/>
            <w:tcBorders>
              <w:top w:val="nil"/>
              <w:left w:val="nil"/>
              <w:bottom w:val="nil"/>
              <w:right w:val="nil"/>
            </w:tcBorders>
            <w:shd w:val="clear" w:color="000000" w:fill="FFFFFF"/>
            <w:noWrap/>
            <w:vAlign w:val="bottom"/>
            <w:hideMark/>
          </w:tcPr>
          <w:p w14:paraId="56B0CDD5" w14:textId="78A89089" w:rsidR="00337F47" w:rsidRPr="005805E3" w:rsidRDefault="00337F47" w:rsidP="00E066D7">
            <w:pPr>
              <w:spacing w:after="0" w:line="240" w:lineRule="auto"/>
              <w:jc w:val="center"/>
              <w:rPr>
                <w:rFonts w:eastAsia="Times New Roman" w:cs="Calibri"/>
                <w:color w:val="000000"/>
                <w:sz w:val="14"/>
                <w:szCs w:val="14"/>
                <w:lang w:eastAsia="es-ES"/>
              </w:rPr>
            </w:pPr>
            <w:r w:rsidRPr="005805E3">
              <w:rPr>
                <w:rFonts w:eastAsia="Times New Roman" w:cs="Calibri"/>
                <w:color w:val="000000"/>
                <w:sz w:val="14"/>
                <w:szCs w:val="14"/>
                <w:lang w:eastAsia="es-ES"/>
              </w:rPr>
              <w:t>-</w:t>
            </w:r>
            <w:r w:rsidR="00397213">
              <w:rPr>
                <w:rFonts w:eastAsia="Times New Roman" w:cs="Calibri"/>
                <w:color w:val="000000"/>
                <w:sz w:val="14"/>
                <w:szCs w:val="14"/>
                <w:lang w:eastAsia="es-ES"/>
              </w:rPr>
              <w:t>8</w:t>
            </w:r>
            <w:r w:rsidRPr="005805E3">
              <w:rPr>
                <w:rFonts w:eastAsia="Times New Roman" w:cs="Calibri"/>
                <w:color w:val="000000"/>
                <w:sz w:val="14"/>
                <w:szCs w:val="14"/>
                <w:lang w:eastAsia="es-ES"/>
              </w:rPr>
              <w:t>%</w:t>
            </w:r>
          </w:p>
        </w:tc>
      </w:tr>
      <w:tr w:rsidR="00337F47" w:rsidRPr="005805E3" w14:paraId="420F17FF" w14:textId="77777777" w:rsidTr="00E066D7">
        <w:trPr>
          <w:trHeight w:val="332"/>
        </w:trPr>
        <w:tc>
          <w:tcPr>
            <w:tcW w:w="3496" w:type="dxa"/>
            <w:tcBorders>
              <w:top w:val="nil"/>
              <w:left w:val="nil"/>
              <w:bottom w:val="nil"/>
              <w:right w:val="nil"/>
            </w:tcBorders>
            <w:shd w:val="clear" w:color="auto" w:fill="auto"/>
            <w:noWrap/>
            <w:vAlign w:val="bottom"/>
            <w:hideMark/>
          </w:tcPr>
          <w:p w14:paraId="29BB27C9" w14:textId="77777777" w:rsidR="00337F47" w:rsidRPr="005805E3" w:rsidRDefault="00337F47" w:rsidP="00695E28">
            <w:pPr>
              <w:spacing w:after="0" w:line="240" w:lineRule="auto"/>
              <w:rPr>
                <w:rFonts w:eastAsia="Times New Roman" w:cs="Calibri"/>
                <w:color w:val="000000"/>
                <w:sz w:val="14"/>
                <w:szCs w:val="14"/>
                <w:lang w:eastAsia="es-ES"/>
              </w:rPr>
            </w:pPr>
            <w:r w:rsidRPr="005805E3">
              <w:rPr>
                <w:rFonts w:eastAsia="Times New Roman" w:cs="Calibri"/>
                <w:color w:val="000000"/>
                <w:sz w:val="14"/>
                <w:szCs w:val="14"/>
                <w:lang w:eastAsia="es-ES"/>
              </w:rPr>
              <w:t>Servicios bancarios</w:t>
            </w:r>
          </w:p>
        </w:tc>
        <w:tc>
          <w:tcPr>
            <w:tcW w:w="972" w:type="dxa"/>
            <w:tcBorders>
              <w:top w:val="nil"/>
              <w:left w:val="nil"/>
              <w:bottom w:val="nil"/>
              <w:right w:val="nil"/>
            </w:tcBorders>
            <w:shd w:val="clear" w:color="auto" w:fill="auto"/>
            <w:noWrap/>
            <w:vAlign w:val="center"/>
            <w:hideMark/>
          </w:tcPr>
          <w:p w14:paraId="0BF21ACC" w14:textId="77777777" w:rsidR="00337F47" w:rsidRPr="005805E3" w:rsidRDefault="00337F47" w:rsidP="00695E28">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626</w:t>
            </w:r>
          </w:p>
        </w:tc>
        <w:tc>
          <w:tcPr>
            <w:tcW w:w="1249" w:type="dxa"/>
            <w:tcBorders>
              <w:top w:val="nil"/>
              <w:left w:val="nil"/>
              <w:bottom w:val="nil"/>
              <w:right w:val="nil"/>
            </w:tcBorders>
            <w:shd w:val="clear" w:color="auto" w:fill="auto"/>
            <w:noWrap/>
            <w:vAlign w:val="bottom"/>
            <w:hideMark/>
          </w:tcPr>
          <w:p w14:paraId="61FAB03E" w14:textId="31C8780D" w:rsidR="00337F47" w:rsidRPr="005805E3" w:rsidRDefault="00337F47" w:rsidP="00E066D7">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sidR="00397213">
              <w:rPr>
                <w:rFonts w:eastAsia="Times New Roman" w:cs="Calibri"/>
                <w:sz w:val="14"/>
                <w:szCs w:val="14"/>
                <w:lang w:eastAsia="es-ES"/>
              </w:rPr>
              <w:t>6.061</w:t>
            </w:r>
            <w:r w:rsidRPr="005805E3">
              <w:rPr>
                <w:rFonts w:eastAsia="Times New Roman" w:cs="Calibri"/>
                <w:sz w:val="14"/>
                <w:szCs w:val="14"/>
                <w:lang w:eastAsia="es-ES"/>
              </w:rPr>
              <w:t>)</w:t>
            </w:r>
          </w:p>
        </w:tc>
        <w:tc>
          <w:tcPr>
            <w:tcW w:w="1318" w:type="dxa"/>
            <w:tcBorders>
              <w:top w:val="nil"/>
              <w:left w:val="nil"/>
              <w:bottom w:val="nil"/>
              <w:right w:val="nil"/>
            </w:tcBorders>
            <w:shd w:val="clear" w:color="auto" w:fill="auto"/>
            <w:noWrap/>
            <w:vAlign w:val="bottom"/>
            <w:hideMark/>
          </w:tcPr>
          <w:p w14:paraId="694813D6" w14:textId="2599B662" w:rsidR="00337F47" w:rsidRPr="005805E3" w:rsidRDefault="00337F47" w:rsidP="00E066D7">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sidR="00397213">
              <w:rPr>
                <w:rFonts w:eastAsia="Times New Roman" w:cs="Calibri"/>
                <w:sz w:val="14"/>
                <w:szCs w:val="14"/>
                <w:lang w:eastAsia="es-ES"/>
              </w:rPr>
              <w:t>8.004</w:t>
            </w:r>
            <w:r w:rsidRPr="005805E3">
              <w:rPr>
                <w:rFonts w:eastAsia="Times New Roman" w:cs="Calibri"/>
                <w:sz w:val="14"/>
                <w:szCs w:val="14"/>
                <w:lang w:eastAsia="es-ES"/>
              </w:rPr>
              <w:t>)</w:t>
            </w:r>
          </w:p>
        </w:tc>
        <w:tc>
          <w:tcPr>
            <w:tcW w:w="1172" w:type="dxa"/>
            <w:tcBorders>
              <w:top w:val="nil"/>
              <w:left w:val="nil"/>
              <w:bottom w:val="nil"/>
              <w:right w:val="nil"/>
            </w:tcBorders>
            <w:shd w:val="clear" w:color="000000" w:fill="FFFFFF"/>
            <w:noWrap/>
            <w:vAlign w:val="bottom"/>
            <w:hideMark/>
          </w:tcPr>
          <w:p w14:paraId="0D2DE65E" w14:textId="25AAF41C" w:rsidR="00337F47" w:rsidRPr="005805E3" w:rsidRDefault="00397213" w:rsidP="00E066D7">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1.943</w:t>
            </w:r>
          </w:p>
        </w:tc>
        <w:tc>
          <w:tcPr>
            <w:tcW w:w="585" w:type="dxa"/>
            <w:tcBorders>
              <w:top w:val="nil"/>
              <w:left w:val="nil"/>
              <w:bottom w:val="nil"/>
              <w:right w:val="nil"/>
            </w:tcBorders>
            <w:shd w:val="clear" w:color="000000" w:fill="FFFFFF"/>
            <w:noWrap/>
            <w:vAlign w:val="bottom"/>
            <w:hideMark/>
          </w:tcPr>
          <w:p w14:paraId="34EB4DA9" w14:textId="23CEBE2F" w:rsidR="00337F47" w:rsidRPr="005805E3" w:rsidRDefault="00397213" w:rsidP="00E066D7">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32</w:t>
            </w:r>
            <w:r w:rsidR="00337F47" w:rsidRPr="005805E3">
              <w:rPr>
                <w:rFonts w:eastAsia="Times New Roman" w:cs="Calibri"/>
                <w:color w:val="000000"/>
                <w:sz w:val="14"/>
                <w:szCs w:val="14"/>
                <w:lang w:eastAsia="es-ES"/>
              </w:rPr>
              <w:t>%</w:t>
            </w:r>
          </w:p>
        </w:tc>
      </w:tr>
      <w:tr w:rsidR="00337F47" w:rsidRPr="005805E3" w14:paraId="76587CEF" w14:textId="77777777" w:rsidTr="00E066D7">
        <w:trPr>
          <w:trHeight w:val="332"/>
        </w:trPr>
        <w:tc>
          <w:tcPr>
            <w:tcW w:w="3496" w:type="dxa"/>
            <w:tcBorders>
              <w:top w:val="nil"/>
              <w:left w:val="nil"/>
              <w:bottom w:val="nil"/>
              <w:right w:val="nil"/>
            </w:tcBorders>
            <w:shd w:val="clear" w:color="auto" w:fill="auto"/>
            <w:noWrap/>
            <w:vAlign w:val="bottom"/>
            <w:hideMark/>
          </w:tcPr>
          <w:p w14:paraId="5818760A" w14:textId="77777777" w:rsidR="00337F47" w:rsidRPr="005805E3" w:rsidRDefault="00337F47" w:rsidP="00695E28">
            <w:pPr>
              <w:spacing w:after="0" w:line="240" w:lineRule="auto"/>
              <w:rPr>
                <w:rFonts w:eastAsia="Times New Roman" w:cs="Calibri"/>
                <w:color w:val="000000"/>
                <w:sz w:val="14"/>
                <w:szCs w:val="14"/>
                <w:lang w:eastAsia="es-ES"/>
              </w:rPr>
            </w:pPr>
            <w:r w:rsidRPr="005805E3">
              <w:rPr>
                <w:rFonts w:eastAsia="Times New Roman" w:cs="Calibri"/>
                <w:color w:val="000000"/>
                <w:sz w:val="14"/>
                <w:szCs w:val="14"/>
                <w:lang w:eastAsia="es-ES"/>
              </w:rPr>
              <w:t>Publicidad, propaganda y relaciones públicas</w:t>
            </w:r>
          </w:p>
        </w:tc>
        <w:tc>
          <w:tcPr>
            <w:tcW w:w="972" w:type="dxa"/>
            <w:tcBorders>
              <w:top w:val="nil"/>
              <w:left w:val="nil"/>
              <w:bottom w:val="nil"/>
              <w:right w:val="nil"/>
            </w:tcBorders>
            <w:shd w:val="clear" w:color="auto" w:fill="auto"/>
            <w:noWrap/>
            <w:vAlign w:val="center"/>
            <w:hideMark/>
          </w:tcPr>
          <w:p w14:paraId="3D7546C2" w14:textId="77777777" w:rsidR="00337F47" w:rsidRPr="005805E3" w:rsidRDefault="00337F47" w:rsidP="00695E28">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627</w:t>
            </w:r>
          </w:p>
        </w:tc>
        <w:tc>
          <w:tcPr>
            <w:tcW w:w="1249" w:type="dxa"/>
            <w:tcBorders>
              <w:top w:val="nil"/>
              <w:left w:val="nil"/>
              <w:bottom w:val="nil"/>
              <w:right w:val="nil"/>
            </w:tcBorders>
            <w:shd w:val="clear" w:color="auto" w:fill="auto"/>
            <w:noWrap/>
            <w:vAlign w:val="bottom"/>
            <w:hideMark/>
          </w:tcPr>
          <w:p w14:paraId="5728543F" w14:textId="22C31789" w:rsidR="00337F47" w:rsidRPr="005805E3" w:rsidRDefault="00337F47" w:rsidP="00E066D7">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sidR="00397213">
              <w:rPr>
                <w:rFonts w:eastAsia="Times New Roman" w:cs="Calibri"/>
                <w:sz w:val="14"/>
                <w:szCs w:val="14"/>
                <w:lang w:eastAsia="es-ES"/>
              </w:rPr>
              <w:t>1.146.601</w:t>
            </w:r>
            <w:r w:rsidRPr="005805E3">
              <w:rPr>
                <w:rFonts w:eastAsia="Times New Roman" w:cs="Calibri"/>
                <w:sz w:val="14"/>
                <w:szCs w:val="14"/>
                <w:lang w:eastAsia="es-ES"/>
              </w:rPr>
              <w:t>)</w:t>
            </w:r>
          </w:p>
        </w:tc>
        <w:tc>
          <w:tcPr>
            <w:tcW w:w="1318" w:type="dxa"/>
            <w:tcBorders>
              <w:top w:val="nil"/>
              <w:left w:val="nil"/>
              <w:bottom w:val="nil"/>
              <w:right w:val="nil"/>
            </w:tcBorders>
            <w:shd w:val="clear" w:color="auto" w:fill="auto"/>
            <w:noWrap/>
            <w:vAlign w:val="bottom"/>
            <w:hideMark/>
          </w:tcPr>
          <w:p w14:paraId="4134D193" w14:textId="1AFBC881" w:rsidR="00337F47" w:rsidRPr="005805E3" w:rsidRDefault="00337F47" w:rsidP="00E066D7">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sidR="00397213">
              <w:rPr>
                <w:rFonts w:eastAsia="Times New Roman" w:cs="Calibri"/>
                <w:sz w:val="14"/>
                <w:szCs w:val="14"/>
                <w:lang w:eastAsia="es-ES"/>
              </w:rPr>
              <w:t>1.</w:t>
            </w:r>
            <w:r w:rsidR="008E19F5">
              <w:rPr>
                <w:rFonts w:eastAsia="Times New Roman" w:cs="Calibri"/>
                <w:sz w:val="14"/>
                <w:szCs w:val="14"/>
                <w:lang w:eastAsia="es-ES"/>
              </w:rPr>
              <w:t>666</w:t>
            </w:r>
            <w:r w:rsidR="00397213">
              <w:rPr>
                <w:rFonts w:eastAsia="Times New Roman" w:cs="Calibri"/>
                <w:sz w:val="14"/>
                <w:szCs w:val="14"/>
                <w:lang w:eastAsia="es-ES"/>
              </w:rPr>
              <w:t>.258</w:t>
            </w:r>
            <w:r w:rsidRPr="005805E3">
              <w:rPr>
                <w:rFonts w:eastAsia="Times New Roman" w:cs="Calibri"/>
                <w:sz w:val="14"/>
                <w:szCs w:val="14"/>
                <w:lang w:eastAsia="es-ES"/>
              </w:rPr>
              <w:t>)</w:t>
            </w:r>
          </w:p>
        </w:tc>
        <w:tc>
          <w:tcPr>
            <w:tcW w:w="1172" w:type="dxa"/>
            <w:tcBorders>
              <w:top w:val="nil"/>
              <w:left w:val="nil"/>
              <w:bottom w:val="nil"/>
              <w:right w:val="nil"/>
            </w:tcBorders>
            <w:shd w:val="clear" w:color="000000" w:fill="FFFFFF"/>
            <w:noWrap/>
            <w:vAlign w:val="bottom"/>
            <w:hideMark/>
          </w:tcPr>
          <w:p w14:paraId="2258C254" w14:textId="3C065D8D" w:rsidR="00337F47" w:rsidRPr="005805E3" w:rsidRDefault="008E19F5" w:rsidP="00E066D7">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519.</w:t>
            </w:r>
            <w:r w:rsidR="00397213">
              <w:rPr>
                <w:rFonts w:eastAsia="Times New Roman" w:cs="Calibri"/>
                <w:color w:val="000000"/>
                <w:sz w:val="14"/>
                <w:szCs w:val="14"/>
                <w:lang w:eastAsia="es-ES"/>
              </w:rPr>
              <w:t>657</w:t>
            </w:r>
          </w:p>
        </w:tc>
        <w:tc>
          <w:tcPr>
            <w:tcW w:w="585" w:type="dxa"/>
            <w:tcBorders>
              <w:top w:val="nil"/>
              <w:left w:val="nil"/>
              <w:bottom w:val="nil"/>
              <w:right w:val="nil"/>
            </w:tcBorders>
            <w:shd w:val="clear" w:color="000000" w:fill="FFFFFF"/>
            <w:noWrap/>
            <w:vAlign w:val="bottom"/>
            <w:hideMark/>
          </w:tcPr>
          <w:p w14:paraId="4223E6C2" w14:textId="1A70F46A" w:rsidR="00337F47" w:rsidRPr="005805E3" w:rsidRDefault="008E19F5" w:rsidP="00E066D7">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45</w:t>
            </w:r>
            <w:r w:rsidR="00337F47" w:rsidRPr="005805E3">
              <w:rPr>
                <w:rFonts w:eastAsia="Times New Roman" w:cs="Calibri"/>
                <w:color w:val="000000"/>
                <w:sz w:val="14"/>
                <w:szCs w:val="14"/>
                <w:lang w:eastAsia="es-ES"/>
              </w:rPr>
              <w:t>%</w:t>
            </w:r>
          </w:p>
        </w:tc>
      </w:tr>
      <w:tr w:rsidR="00337F47" w:rsidRPr="005805E3" w14:paraId="09FC1C45" w14:textId="77777777" w:rsidTr="00E066D7">
        <w:trPr>
          <w:trHeight w:val="332"/>
        </w:trPr>
        <w:tc>
          <w:tcPr>
            <w:tcW w:w="3496" w:type="dxa"/>
            <w:tcBorders>
              <w:top w:val="nil"/>
              <w:left w:val="nil"/>
              <w:bottom w:val="nil"/>
              <w:right w:val="nil"/>
            </w:tcBorders>
            <w:shd w:val="clear" w:color="auto" w:fill="auto"/>
            <w:noWrap/>
            <w:vAlign w:val="bottom"/>
            <w:hideMark/>
          </w:tcPr>
          <w:p w14:paraId="3BBDE292" w14:textId="77777777" w:rsidR="00337F47" w:rsidRPr="005805E3" w:rsidRDefault="00337F47" w:rsidP="00695E28">
            <w:pPr>
              <w:spacing w:after="0" w:line="240" w:lineRule="auto"/>
              <w:rPr>
                <w:rFonts w:eastAsia="Times New Roman" w:cs="Calibri"/>
                <w:color w:val="000000"/>
                <w:sz w:val="14"/>
                <w:szCs w:val="14"/>
                <w:lang w:eastAsia="es-ES"/>
              </w:rPr>
            </w:pPr>
            <w:r w:rsidRPr="005805E3">
              <w:rPr>
                <w:rFonts w:eastAsia="Times New Roman" w:cs="Calibri"/>
                <w:color w:val="000000"/>
                <w:sz w:val="14"/>
                <w:szCs w:val="14"/>
                <w:lang w:eastAsia="es-ES"/>
              </w:rPr>
              <w:t>Suministros</w:t>
            </w:r>
          </w:p>
        </w:tc>
        <w:tc>
          <w:tcPr>
            <w:tcW w:w="972" w:type="dxa"/>
            <w:tcBorders>
              <w:top w:val="nil"/>
              <w:left w:val="nil"/>
              <w:bottom w:val="nil"/>
              <w:right w:val="nil"/>
            </w:tcBorders>
            <w:shd w:val="clear" w:color="auto" w:fill="auto"/>
            <w:noWrap/>
            <w:vAlign w:val="center"/>
            <w:hideMark/>
          </w:tcPr>
          <w:p w14:paraId="7EA9DDB7" w14:textId="77777777" w:rsidR="00337F47" w:rsidRPr="005805E3" w:rsidRDefault="00337F47" w:rsidP="00695E28">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628</w:t>
            </w:r>
          </w:p>
        </w:tc>
        <w:tc>
          <w:tcPr>
            <w:tcW w:w="1249" w:type="dxa"/>
            <w:tcBorders>
              <w:top w:val="nil"/>
              <w:left w:val="nil"/>
              <w:bottom w:val="nil"/>
              <w:right w:val="nil"/>
            </w:tcBorders>
            <w:shd w:val="clear" w:color="auto" w:fill="auto"/>
            <w:noWrap/>
            <w:vAlign w:val="bottom"/>
            <w:hideMark/>
          </w:tcPr>
          <w:p w14:paraId="55ABBE26" w14:textId="32A78266" w:rsidR="00337F47" w:rsidRPr="005805E3" w:rsidRDefault="00337F47" w:rsidP="00E066D7">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sidR="00B55F5B">
              <w:rPr>
                <w:rFonts w:eastAsia="Times New Roman" w:cs="Calibri"/>
                <w:sz w:val="14"/>
                <w:szCs w:val="14"/>
                <w:lang w:eastAsia="es-ES"/>
              </w:rPr>
              <w:t>64.537</w:t>
            </w:r>
            <w:r w:rsidRPr="005805E3">
              <w:rPr>
                <w:rFonts w:eastAsia="Times New Roman" w:cs="Calibri"/>
                <w:sz w:val="14"/>
                <w:szCs w:val="14"/>
                <w:lang w:eastAsia="es-ES"/>
              </w:rPr>
              <w:t>)</w:t>
            </w:r>
          </w:p>
        </w:tc>
        <w:tc>
          <w:tcPr>
            <w:tcW w:w="1318" w:type="dxa"/>
            <w:tcBorders>
              <w:top w:val="nil"/>
              <w:left w:val="nil"/>
              <w:bottom w:val="nil"/>
              <w:right w:val="nil"/>
            </w:tcBorders>
            <w:shd w:val="clear" w:color="auto" w:fill="auto"/>
            <w:noWrap/>
            <w:vAlign w:val="bottom"/>
            <w:hideMark/>
          </w:tcPr>
          <w:p w14:paraId="38AA9DA2" w14:textId="619DD03A" w:rsidR="00337F47" w:rsidRPr="005805E3" w:rsidRDefault="00337F47" w:rsidP="00E066D7">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sidR="00B55F5B">
              <w:rPr>
                <w:rFonts w:eastAsia="Times New Roman" w:cs="Calibri"/>
                <w:sz w:val="14"/>
                <w:szCs w:val="14"/>
                <w:lang w:eastAsia="es-ES"/>
              </w:rPr>
              <w:t>64.054</w:t>
            </w:r>
            <w:r w:rsidRPr="005805E3">
              <w:rPr>
                <w:rFonts w:eastAsia="Times New Roman" w:cs="Calibri"/>
                <w:sz w:val="14"/>
                <w:szCs w:val="14"/>
                <w:lang w:eastAsia="es-ES"/>
              </w:rPr>
              <w:t>)</w:t>
            </w:r>
          </w:p>
        </w:tc>
        <w:tc>
          <w:tcPr>
            <w:tcW w:w="1172" w:type="dxa"/>
            <w:tcBorders>
              <w:top w:val="nil"/>
              <w:left w:val="nil"/>
              <w:bottom w:val="nil"/>
              <w:right w:val="nil"/>
            </w:tcBorders>
            <w:shd w:val="clear" w:color="000000" w:fill="FFFFFF"/>
            <w:noWrap/>
            <w:vAlign w:val="bottom"/>
            <w:hideMark/>
          </w:tcPr>
          <w:p w14:paraId="046E23ED" w14:textId="0C780AC1" w:rsidR="00337F47" w:rsidRPr="005805E3" w:rsidRDefault="00337F47" w:rsidP="00E066D7">
            <w:pPr>
              <w:spacing w:after="0" w:line="240" w:lineRule="auto"/>
              <w:jc w:val="center"/>
              <w:rPr>
                <w:rFonts w:eastAsia="Times New Roman" w:cs="Calibri"/>
                <w:color w:val="000000"/>
                <w:sz w:val="14"/>
                <w:szCs w:val="14"/>
                <w:lang w:eastAsia="es-ES"/>
              </w:rPr>
            </w:pPr>
            <w:r w:rsidRPr="005805E3">
              <w:rPr>
                <w:rFonts w:eastAsia="Times New Roman" w:cs="Calibri"/>
                <w:color w:val="000000"/>
                <w:sz w:val="14"/>
                <w:szCs w:val="14"/>
                <w:lang w:eastAsia="es-ES"/>
              </w:rPr>
              <w:t>(</w:t>
            </w:r>
            <w:r w:rsidR="00B55F5B">
              <w:rPr>
                <w:rFonts w:eastAsia="Times New Roman" w:cs="Calibri"/>
                <w:color w:val="000000"/>
                <w:sz w:val="14"/>
                <w:szCs w:val="14"/>
                <w:lang w:eastAsia="es-ES"/>
              </w:rPr>
              <w:t>483</w:t>
            </w:r>
            <w:r w:rsidRPr="005805E3">
              <w:rPr>
                <w:rFonts w:eastAsia="Times New Roman" w:cs="Calibri"/>
                <w:color w:val="000000"/>
                <w:sz w:val="14"/>
                <w:szCs w:val="14"/>
                <w:lang w:eastAsia="es-ES"/>
              </w:rPr>
              <w:t>)</w:t>
            </w:r>
          </w:p>
        </w:tc>
        <w:tc>
          <w:tcPr>
            <w:tcW w:w="585" w:type="dxa"/>
            <w:tcBorders>
              <w:top w:val="nil"/>
              <w:left w:val="nil"/>
              <w:bottom w:val="nil"/>
              <w:right w:val="nil"/>
            </w:tcBorders>
            <w:shd w:val="clear" w:color="000000" w:fill="FFFFFF"/>
            <w:noWrap/>
            <w:vAlign w:val="bottom"/>
            <w:hideMark/>
          </w:tcPr>
          <w:p w14:paraId="1064E6EF" w14:textId="6A3F3878" w:rsidR="00337F47" w:rsidRPr="005805E3" w:rsidRDefault="00337F47" w:rsidP="00E066D7">
            <w:pPr>
              <w:spacing w:after="0" w:line="240" w:lineRule="auto"/>
              <w:jc w:val="center"/>
              <w:rPr>
                <w:rFonts w:eastAsia="Times New Roman" w:cs="Calibri"/>
                <w:color w:val="000000"/>
                <w:sz w:val="14"/>
                <w:szCs w:val="14"/>
                <w:lang w:eastAsia="es-ES"/>
              </w:rPr>
            </w:pPr>
            <w:r w:rsidRPr="005805E3">
              <w:rPr>
                <w:rFonts w:eastAsia="Times New Roman" w:cs="Calibri"/>
                <w:color w:val="000000"/>
                <w:sz w:val="14"/>
                <w:szCs w:val="14"/>
                <w:lang w:eastAsia="es-ES"/>
              </w:rPr>
              <w:t>-</w:t>
            </w:r>
            <w:r w:rsidR="00B55F5B">
              <w:rPr>
                <w:rFonts w:eastAsia="Times New Roman" w:cs="Calibri"/>
                <w:color w:val="000000"/>
                <w:sz w:val="14"/>
                <w:szCs w:val="14"/>
                <w:lang w:eastAsia="es-ES"/>
              </w:rPr>
              <w:t>1</w:t>
            </w:r>
            <w:r w:rsidRPr="005805E3">
              <w:rPr>
                <w:rFonts w:eastAsia="Times New Roman" w:cs="Calibri"/>
                <w:color w:val="000000"/>
                <w:sz w:val="14"/>
                <w:szCs w:val="14"/>
                <w:lang w:eastAsia="es-ES"/>
              </w:rPr>
              <w:t>%</w:t>
            </w:r>
          </w:p>
        </w:tc>
      </w:tr>
      <w:tr w:rsidR="00337F47" w:rsidRPr="005805E3" w14:paraId="6FE8477E" w14:textId="77777777" w:rsidTr="00E066D7">
        <w:trPr>
          <w:trHeight w:val="332"/>
        </w:trPr>
        <w:tc>
          <w:tcPr>
            <w:tcW w:w="3496" w:type="dxa"/>
            <w:tcBorders>
              <w:top w:val="nil"/>
              <w:left w:val="nil"/>
              <w:bottom w:val="nil"/>
              <w:right w:val="nil"/>
            </w:tcBorders>
            <w:shd w:val="clear" w:color="auto" w:fill="auto"/>
            <w:noWrap/>
            <w:vAlign w:val="bottom"/>
            <w:hideMark/>
          </w:tcPr>
          <w:p w14:paraId="27D53472" w14:textId="77777777" w:rsidR="00337F47" w:rsidRPr="005805E3" w:rsidRDefault="00337F47" w:rsidP="00695E28">
            <w:pPr>
              <w:spacing w:after="0" w:line="240" w:lineRule="auto"/>
              <w:rPr>
                <w:rFonts w:eastAsia="Times New Roman" w:cs="Calibri"/>
                <w:color w:val="000000"/>
                <w:sz w:val="14"/>
                <w:szCs w:val="14"/>
                <w:lang w:eastAsia="es-ES"/>
              </w:rPr>
            </w:pPr>
            <w:r w:rsidRPr="005805E3">
              <w:rPr>
                <w:rFonts w:eastAsia="Times New Roman" w:cs="Calibri"/>
                <w:color w:val="000000"/>
                <w:sz w:val="14"/>
                <w:szCs w:val="14"/>
                <w:lang w:eastAsia="es-ES"/>
              </w:rPr>
              <w:t>Otros servicios</w:t>
            </w:r>
          </w:p>
        </w:tc>
        <w:tc>
          <w:tcPr>
            <w:tcW w:w="972" w:type="dxa"/>
            <w:tcBorders>
              <w:top w:val="nil"/>
              <w:left w:val="nil"/>
              <w:bottom w:val="nil"/>
              <w:right w:val="nil"/>
            </w:tcBorders>
            <w:shd w:val="clear" w:color="auto" w:fill="auto"/>
            <w:noWrap/>
            <w:vAlign w:val="center"/>
            <w:hideMark/>
          </w:tcPr>
          <w:p w14:paraId="3949C7CA" w14:textId="77777777" w:rsidR="00337F47" w:rsidRPr="005805E3" w:rsidRDefault="00337F47" w:rsidP="00695E28">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629</w:t>
            </w:r>
          </w:p>
        </w:tc>
        <w:tc>
          <w:tcPr>
            <w:tcW w:w="1249" w:type="dxa"/>
            <w:tcBorders>
              <w:top w:val="nil"/>
              <w:left w:val="nil"/>
              <w:bottom w:val="nil"/>
              <w:right w:val="nil"/>
            </w:tcBorders>
            <w:shd w:val="clear" w:color="auto" w:fill="auto"/>
            <w:noWrap/>
            <w:vAlign w:val="bottom"/>
            <w:hideMark/>
          </w:tcPr>
          <w:p w14:paraId="5E826A12" w14:textId="340CD4DA" w:rsidR="00337F47" w:rsidRPr="005805E3" w:rsidRDefault="00337F47" w:rsidP="00E066D7">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sidR="00B55F5B">
              <w:rPr>
                <w:rFonts w:eastAsia="Times New Roman" w:cs="Calibri"/>
                <w:sz w:val="14"/>
                <w:szCs w:val="14"/>
                <w:lang w:eastAsia="es-ES"/>
              </w:rPr>
              <w:t>405.246</w:t>
            </w:r>
            <w:r w:rsidRPr="005805E3">
              <w:rPr>
                <w:rFonts w:eastAsia="Times New Roman" w:cs="Calibri"/>
                <w:sz w:val="14"/>
                <w:szCs w:val="14"/>
                <w:lang w:eastAsia="es-ES"/>
              </w:rPr>
              <w:t>)</w:t>
            </w:r>
          </w:p>
        </w:tc>
        <w:tc>
          <w:tcPr>
            <w:tcW w:w="1318" w:type="dxa"/>
            <w:tcBorders>
              <w:top w:val="nil"/>
              <w:left w:val="nil"/>
              <w:bottom w:val="nil"/>
              <w:right w:val="nil"/>
            </w:tcBorders>
            <w:shd w:val="clear" w:color="auto" w:fill="auto"/>
            <w:noWrap/>
            <w:vAlign w:val="bottom"/>
            <w:hideMark/>
          </w:tcPr>
          <w:p w14:paraId="4C2C1EA3" w14:textId="67A80334" w:rsidR="00337F47" w:rsidRPr="005805E3" w:rsidRDefault="00337F47" w:rsidP="00E066D7">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sidR="00B55F5B">
              <w:rPr>
                <w:rFonts w:eastAsia="Times New Roman" w:cs="Calibri"/>
                <w:sz w:val="14"/>
                <w:szCs w:val="14"/>
                <w:lang w:eastAsia="es-ES"/>
              </w:rPr>
              <w:t>1.077.613</w:t>
            </w:r>
            <w:r w:rsidRPr="005805E3">
              <w:rPr>
                <w:rFonts w:eastAsia="Times New Roman" w:cs="Calibri"/>
                <w:sz w:val="14"/>
                <w:szCs w:val="14"/>
                <w:lang w:eastAsia="es-ES"/>
              </w:rPr>
              <w:t>)</w:t>
            </w:r>
          </w:p>
        </w:tc>
        <w:tc>
          <w:tcPr>
            <w:tcW w:w="1172" w:type="dxa"/>
            <w:tcBorders>
              <w:top w:val="nil"/>
              <w:left w:val="nil"/>
              <w:bottom w:val="nil"/>
              <w:right w:val="nil"/>
            </w:tcBorders>
            <w:shd w:val="clear" w:color="000000" w:fill="FFFFFF"/>
            <w:noWrap/>
            <w:vAlign w:val="bottom"/>
            <w:hideMark/>
          </w:tcPr>
          <w:p w14:paraId="53A034D8" w14:textId="0D480335" w:rsidR="00337F47" w:rsidRPr="005805E3" w:rsidRDefault="00B55F5B" w:rsidP="00E066D7">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672.367</w:t>
            </w:r>
          </w:p>
        </w:tc>
        <w:tc>
          <w:tcPr>
            <w:tcW w:w="585" w:type="dxa"/>
            <w:tcBorders>
              <w:top w:val="nil"/>
              <w:left w:val="nil"/>
              <w:bottom w:val="nil"/>
              <w:right w:val="nil"/>
            </w:tcBorders>
            <w:shd w:val="clear" w:color="000000" w:fill="FFFFFF"/>
            <w:noWrap/>
            <w:vAlign w:val="bottom"/>
            <w:hideMark/>
          </w:tcPr>
          <w:p w14:paraId="4418364F" w14:textId="7E7E59D8" w:rsidR="00337F47" w:rsidRPr="005805E3" w:rsidRDefault="00B55F5B" w:rsidP="00E066D7">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166</w:t>
            </w:r>
            <w:r w:rsidR="00337F47" w:rsidRPr="005805E3">
              <w:rPr>
                <w:rFonts w:eastAsia="Times New Roman" w:cs="Calibri"/>
                <w:color w:val="000000"/>
                <w:sz w:val="14"/>
                <w:szCs w:val="14"/>
                <w:lang w:eastAsia="es-ES"/>
              </w:rPr>
              <w:t>%</w:t>
            </w:r>
          </w:p>
        </w:tc>
      </w:tr>
      <w:tr w:rsidR="00337F47" w:rsidRPr="005805E3" w14:paraId="3D4D3DA2" w14:textId="77777777" w:rsidTr="00E066D7">
        <w:trPr>
          <w:trHeight w:val="332"/>
        </w:trPr>
        <w:tc>
          <w:tcPr>
            <w:tcW w:w="3496" w:type="dxa"/>
            <w:tcBorders>
              <w:top w:val="nil"/>
              <w:left w:val="nil"/>
              <w:bottom w:val="nil"/>
              <w:right w:val="nil"/>
            </w:tcBorders>
            <w:shd w:val="clear" w:color="auto" w:fill="auto"/>
            <w:noWrap/>
            <w:vAlign w:val="bottom"/>
            <w:hideMark/>
          </w:tcPr>
          <w:p w14:paraId="3D0BA1F6" w14:textId="77777777" w:rsidR="00337F47" w:rsidRPr="005805E3" w:rsidRDefault="00337F47" w:rsidP="00695E28">
            <w:pPr>
              <w:spacing w:after="0" w:line="240" w:lineRule="auto"/>
              <w:rPr>
                <w:rFonts w:eastAsia="Times New Roman" w:cs="Calibri"/>
                <w:b/>
                <w:bCs/>
                <w:color w:val="000000"/>
                <w:sz w:val="14"/>
                <w:szCs w:val="14"/>
                <w:lang w:eastAsia="es-ES"/>
              </w:rPr>
            </w:pPr>
            <w:r w:rsidRPr="005805E3">
              <w:rPr>
                <w:rFonts w:eastAsia="Times New Roman" w:cs="Calibri"/>
                <w:b/>
                <w:bCs/>
                <w:color w:val="000000"/>
                <w:sz w:val="14"/>
                <w:szCs w:val="14"/>
                <w:lang w:eastAsia="es-ES"/>
              </w:rPr>
              <w:t xml:space="preserve">   Tributos</w:t>
            </w:r>
          </w:p>
        </w:tc>
        <w:tc>
          <w:tcPr>
            <w:tcW w:w="972" w:type="dxa"/>
            <w:tcBorders>
              <w:top w:val="nil"/>
              <w:left w:val="nil"/>
              <w:bottom w:val="nil"/>
              <w:right w:val="nil"/>
            </w:tcBorders>
            <w:shd w:val="clear" w:color="auto" w:fill="auto"/>
            <w:noWrap/>
            <w:vAlign w:val="center"/>
            <w:hideMark/>
          </w:tcPr>
          <w:p w14:paraId="02513782" w14:textId="77777777" w:rsidR="00337F47" w:rsidRPr="005805E3" w:rsidRDefault="00337F47" w:rsidP="00695E28">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631</w:t>
            </w:r>
          </w:p>
        </w:tc>
        <w:tc>
          <w:tcPr>
            <w:tcW w:w="1249" w:type="dxa"/>
            <w:tcBorders>
              <w:top w:val="nil"/>
              <w:left w:val="nil"/>
              <w:bottom w:val="nil"/>
              <w:right w:val="nil"/>
            </w:tcBorders>
            <w:shd w:val="clear" w:color="auto" w:fill="auto"/>
            <w:noWrap/>
            <w:vAlign w:val="bottom"/>
            <w:hideMark/>
          </w:tcPr>
          <w:p w14:paraId="00CB213D" w14:textId="59F89E53" w:rsidR="00337F47" w:rsidRPr="005805E3" w:rsidRDefault="00337F47" w:rsidP="00E066D7">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w:t>
            </w:r>
            <w:r w:rsidR="00B55F5B">
              <w:rPr>
                <w:rFonts w:eastAsia="Times New Roman" w:cs="Calibri"/>
                <w:b/>
                <w:bCs/>
                <w:sz w:val="14"/>
                <w:szCs w:val="14"/>
                <w:lang w:eastAsia="es-ES"/>
              </w:rPr>
              <w:t>2.794</w:t>
            </w:r>
            <w:r w:rsidRPr="005805E3">
              <w:rPr>
                <w:rFonts w:eastAsia="Times New Roman" w:cs="Calibri"/>
                <w:b/>
                <w:bCs/>
                <w:sz w:val="14"/>
                <w:szCs w:val="14"/>
                <w:lang w:eastAsia="es-ES"/>
              </w:rPr>
              <w:t>)</w:t>
            </w:r>
          </w:p>
        </w:tc>
        <w:tc>
          <w:tcPr>
            <w:tcW w:w="1318" w:type="dxa"/>
            <w:tcBorders>
              <w:top w:val="nil"/>
              <w:left w:val="nil"/>
              <w:bottom w:val="nil"/>
              <w:right w:val="nil"/>
            </w:tcBorders>
            <w:shd w:val="clear" w:color="auto" w:fill="auto"/>
            <w:noWrap/>
            <w:vAlign w:val="bottom"/>
            <w:hideMark/>
          </w:tcPr>
          <w:p w14:paraId="0BC6DEAF" w14:textId="1FB53D51" w:rsidR="00337F47" w:rsidRPr="005805E3" w:rsidRDefault="00337F47" w:rsidP="00E066D7">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w:t>
            </w:r>
            <w:r w:rsidR="00B55F5B">
              <w:rPr>
                <w:rFonts w:eastAsia="Times New Roman" w:cs="Calibri"/>
                <w:b/>
                <w:bCs/>
                <w:sz w:val="14"/>
                <w:szCs w:val="14"/>
                <w:lang w:eastAsia="es-ES"/>
              </w:rPr>
              <w:t>1.677</w:t>
            </w:r>
            <w:r w:rsidRPr="005805E3">
              <w:rPr>
                <w:rFonts w:eastAsia="Times New Roman" w:cs="Calibri"/>
                <w:b/>
                <w:bCs/>
                <w:sz w:val="14"/>
                <w:szCs w:val="14"/>
                <w:lang w:eastAsia="es-ES"/>
              </w:rPr>
              <w:t>)</w:t>
            </w:r>
          </w:p>
        </w:tc>
        <w:tc>
          <w:tcPr>
            <w:tcW w:w="1172" w:type="dxa"/>
            <w:tcBorders>
              <w:top w:val="nil"/>
              <w:left w:val="nil"/>
              <w:bottom w:val="nil"/>
              <w:right w:val="nil"/>
            </w:tcBorders>
            <w:shd w:val="clear" w:color="000000" w:fill="FFFFFF"/>
            <w:noWrap/>
            <w:vAlign w:val="bottom"/>
            <w:hideMark/>
          </w:tcPr>
          <w:p w14:paraId="6759888D" w14:textId="0071056B" w:rsidR="00337F47" w:rsidRPr="005805E3" w:rsidRDefault="00337F47" w:rsidP="00E066D7">
            <w:pPr>
              <w:spacing w:after="0" w:line="240" w:lineRule="auto"/>
              <w:jc w:val="center"/>
              <w:rPr>
                <w:rFonts w:eastAsia="Times New Roman" w:cs="Calibri"/>
                <w:b/>
                <w:bCs/>
                <w:color w:val="000000"/>
                <w:sz w:val="14"/>
                <w:szCs w:val="14"/>
                <w:lang w:eastAsia="es-ES"/>
              </w:rPr>
            </w:pPr>
            <w:r w:rsidRPr="005805E3">
              <w:rPr>
                <w:rFonts w:eastAsia="Times New Roman" w:cs="Calibri"/>
                <w:b/>
                <w:bCs/>
                <w:color w:val="000000"/>
                <w:sz w:val="14"/>
                <w:szCs w:val="14"/>
                <w:lang w:eastAsia="es-ES"/>
              </w:rPr>
              <w:t>(</w:t>
            </w:r>
            <w:r w:rsidR="00B55F5B">
              <w:rPr>
                <w:rFonts w:eastAsia="Times New Roman" w:cs="Calibri"/>
                <w:b/>
                <w:bCs/>
                <w:color w:val="000000"/>
                <w:sz w:val="14"/>
                <w:szCs w:val="14"/>
                <w:lang w:eastAsia="es-ES"/>
              </w:rPr>
              <w:t>1.117</w:t>
            </w:r>
            <w:r w:rsidRPr="005805E3">
              <w:rPr>
                <w:rFonts w:eastAsia="Times New Roman" w:cs="Calibri"/>
                <w:b/>
                <w:bCs/>
                <w:color w:val="000000"/>
                <w:sz w:val="14"/>
                <w:szCs w:val="14"/>
                <w:lang w:eastAsia="es-ES"/>
              </w:rPr>
              <w:t>)</w:t>
            </w:r>
          </w:p>
        </w:tc>
        <w:tc>
          <w:tcPr>
            <w:tcW w:w="585" w:type="dxa"/>
            <w:tcBorders>
              <w:top w:val="nil"/>
              <w:left w:val="nil"/>
              <w:bottom w:val="nil"/>
              <w:right w:val="nil"/>
            </w:tcBorders>
            <w:shd w:val="clear" w:color="000000" w:fill="FFFFFF"/>
            <w:noWrap/>
            <w:vAlign w:val="bottom"/>
            <w:hideMark/>
          </w:tcPr>
          <w:p w14:paraId="70D88402" w14:textId="7838F31B" w:rsidR="00337F47" w:rsidRPr="005805E3" w:rsidRDefault="0045362D" w:rsidP="00E066D7">
            <w:pPr>
              <w:spacing w:after="0" w:line="240" w:lineRule="auto"/>
              <w:jc w:val="center"/>
              <w:rPr>
                <w:rFonts w:eastAsia="Times New Roman" w:cs="Calibri"/>
                <w:b/>
                <w:bCs/>
                <w:color w:val="000000"/>
                <w:sz w:val="14"/>
                <w:szCs w:val="14"/>
                <w:lang w:eastAsia="es-ES"/>
              </w:rPr>
            </w:pPr>
            <w:r>
              <w:rPr>
                <w:rFonts w:eastAsia="Times New Roman" w:cs="Calibri"/>
                <w:b/>
                <w:bCs/>
                <w:color w:val="000000"/>
                <w:sz w:val="14"/>
                <w:szCs w:val="14"/>
                <w:lang w:eastAsia="es-ES"/>
              </w:rPr>
              <w:t>-40</w:t>
            </w:r>
            <w:r w:rsidR="00337F47" w:rsidRPr="005805E3">
              <w:rPr>
                <w:rFonts w:eastAsia="Times New Roman" w:cs="Calibri"/>
                <w:b/>
                <w:bCs/>
                <w:color w:val="000000"/>
                <w:sz w:val="14"/>
                <w:szCs w:val="14"/>
                <w:lang w:eastAsia="es-ES"/>
              </w:rPr>
              <w:t>%</w:t>
            </w:r>
          </w:p>
        </w:tc>
      </w:tr>
      <w:tr w:rsidR="00337F47" w:rsidRPr="005805E3" w14:paraId="61B2FA9E" w14:textId="77777777" w:rsidTr="00E066D7">
        <w:trPr>
          <w:trHeight w:val="332"/>
        </w:trPr>
        <w:tc>
          <w:tcPr>
            <w:tcW w:w="3496" w:type="dxa"/>
            <w:tcBorders>
              <w:top w:val="nil"/>
              <w:left w:val="nil"/>
              <w:bottom w:val="nil"/>
              <w:right w:val="nil"/>
            </w:tcBorders>
            <w:shd w:val="clear" w:color="000000" w:fill="BFBFBF"/>
            <w:noWrap/>
            <w:vAlign w:val="bottom"/>
            <w:hideMark/>
          </w:tcPr>
          <w:p w14:paraId="574241E6" w14:textId="77777777" w:rsidR="00337F47" w:rsidRPr="005805E3" w:rsidRDefault="00337F47" w:rsidP="00695E28">
            <w:pPr>
              <w:spacing w:after="0" w:line="240" w:lineRule="auto"/>
              <w:rPr>
                <w:rFonts w:eastAsia="Times New Roman" w:cs="Calibri"/>
                <w:b/>
                <w:bCs/>
                <w:color w:val="000000"/>
                <w:sz w:val="14"/>
                <w:szCs w:val="14"/>
                <w:lang w:eastAsia="es-ES"/>
              </w:rPr>
            </w:pPr>
            <w:r w:rsidRPr="005805E3">
              <w:rPr>
                <w:rFonts w:eastAsia="Times New Roman" w:cs="Calibri"/>
                <w:b/>
                <w:bCs/>
                <w:color w:val="000000"/>
                <w:sz w:val="14"/>
                <w:szCs w:val="14"/>
                <w:lang w:eastAsia="es-ES"/>
              </w:rPr>
              <w:t xml:space="preserve">9. Amortización del inmovilizado </w:t>
            </w:r>
          </w:p>
        </w:tc>
        <w:tc>
          <w:tcPr>
            <w:tcW w:w="972" w:type="dxa"/>
            <w:tcBorders>
              <w:top w:val="nil"/>
              <w:left w:val="nil"/>
              <w:bottom w:val="nil"/>
              <w:right w:val="nil"/>
            </w:tcBorders>
            <w:shd w:val="clear" w:color="000000" w:fill="BFBFBF"/>
            <w:noWrap/>
            <w:vAlign w:val="bottom"/>
            <w:hideMark/>
          </w:tcPr>
          <w:p w14:paraId="23E6EA6D" w14:textId="77777777" w:rsidR="00337F47" w:rsidRPr="005805E3" w:rsidRDefault="00337F47" w:rsidP="00695E28">
            <w:pPr>
              <w:spacing w:after="0" w:line="240" w:lineRule="auto"/>
              <w:rPr>
                <w:rFonts w:eastAsia="Times New Roman" w:cs="Calibri"/>
                <w:b/>
                <w:bCs/>
                <w:color w:val="000000"/>
                <w:sz w:val="14"/>
                <w:szCs w:val="14"/>
                <w:lang w:eastAsia="es-ES"/>
              </w:rPr>
            </w:pPr>
            <w:r w:rsidRPr="005805E3">
              <w:rPr>
                <w:rFonts w:eastAsia="Times New Roman" w:cs="Calibri"/>
                <w:b/>
                <w:bCs/>
                <w:color w:val="000000"/>
                <w:sz w:val="14"/>
                <w:szCs w:val="14"/>
                <w:lang w:eastAsia="es-ES"/>
              </w:rPr>
              <w:t> </w:t>
            </w:r>
          </w:p>
        </w:tc>
        <w:tc>
          <w:tcPr>
            <w:tcW w:w="1249" w:type="dxa"/>
            <w:tcBorders>
              <w:top w:val="nil"/>
              <w:left w:val="nil"/>
              <w:bottom w:val="nil"/>
              <w:right w:val="nil"/>
            </w:tcBorders>
            <w:shd w:val="clear" w:color="000000" w:fill="BFBFBF"/>
            <w:noWrap/>
            <w:vAlign w:val="bottom"/>
            <w:hideMark/>
          </w:tcPr>
          <w:p w14:paraId="6CBC1137" w14:textId="7DE4BE8F" w:rsidR="00337F47" w:rsidRPr="005805E3" w:rsidRDefault="00337F47" w:rsidP="00E066D7">
            <w:pPr>
              <w:spacing w:after="0" w:line="240" w:lineRule="auto"/>
              <w:jc w:val="center"/>
              <w:rPr>
                <w:rFonts w:eastAsia="Times New Roman" w:cs="Calibri"/>
                <w:b/>
                <w:bCs/>
                <w:color w:val="000000"/>
                <w:sz w:val="14"/>
                <w:szCs w:val="14"/>
                <w:lang w:eastAsia="es-ES"/>
              </w:rPr>
            </w:pPr>
            <w:r w:rsidRPr="005805E3">
              <w:rPr>
                <w:rFonts w:eastAsia="Times New Roman" w:cs="Calibri"/>
                <w:b/>
                <w:bCs/>
                <w:color w:val="000000"/>
                <w:sz w:val="14"/>
                <w:szCs w:val="14"/>
                <w:lang w:eastAsia="es-ES"/>
              </w:rPr>
              <w:t>(</w:t>
            </w:r>
            <w:r w:rsidR="00B55F5B">
              <w:rPr>
                <w:rFonts w:eastAsia="Times New Roman" w:cs="Calibri"/>
                <w:b/>
                <w:bCs/>
                <w:color w:val="000000"/>
                <w:sz w:val="14"/>
                <w:szCs w:val="14"/>
                <w:lang w:eastAsia="es-ES"/>
              </w:rPr>
              <w:t>74.863</w:t>
            </w:r>
            <w:r w:rsidRPr="005805E3">
              <w:rPr>
                <w:rFonts w:eastAsia="Times New Roman" w:cs="Calibri"/>
                <w:b/>
                <w:bCs/>
                <w:color w:val="000000"/>
                <w:sz w:val="14"/>
                <w:szCs w:val="14"/>
                <w:lang w:eastAsia="es-ES"/>
              </w:rPr>
              <w:t>)</w:t>
            </w:r>
          </w:p>
        </w:tc>
        <w:tc>
          <w:tcPr>
            <w:tcW w:w="1318" w:type="dxa"/>
            <w:tcBorders>
              <w:top w:val="nil"/>
              <w:left w:val="nil"/>
              <w:bottom w:val="nil"/>
              <w:right w:val="nil"/>
            </w:tcBorders>
            <w:shd w:val="clear" w:color="000000" w:fill="BFBFBF"/>
            <w:noWrap/>
            <w:vAlign w:val="bottom"/>
            <w:hideMark/>
          </w:tcPr>
          <w:p w14:paraId="05ED5EF9" w14:textId="5E5F5F98" w:rsidR="00337F47" w:rsidRPr="005805E3" w:rsidRDefault="00337F47" w:rsidP="00E066D7">
            <w:pPr>
              <w:spacing w:after="0" w:line="240" w:lineRule="auto"/>
              <w:jc w:val="center"/>
              <w:rPr>
                <w:rFonts w:eastAsia="Times New Roman" w:cs="Calibri"/>
                <w:b/>
                <w:bCs/>
                <w:color w:val="000000"/>
                <w:sz w:val="14"/>
                <w:szCs w:val="14"/>
                <w:lang w:eastAsia="es-ES"/>
              </w:rPr>
            </w:pPr>
            <w:r w:rsidRPr="005805E3">
              <w:rPr>
                <w:rFonts w:eastAsia="Times New Roman" w:cs="Calibri"/>
                <w:b/>
                <w:bCs/>
                <w:color w:val="000000"/>
                <w:sz w:val="14"/>
                <w:szCs w:val="14"/>
                <w:lang w:eastAsia="es-ES"/>
              </w:rPr>
              <w:t>(</w:t>
            </w:r>
            <w:r w:rsidR="00B55F5B">
              <w:rPr>
                <w:rFonts w:eastAsia="Times New Roman" w:cs="Calibri"/>
                <w:b/>
                <w:bCs/>
                <w:color w:val="000000"/>
                <w:sz w:val="14"/>
                <w:szCs w:val="14"/>
                <w:lang w:eastAsia="es-ES"/>
              </w:rPr>
              <w:t>92.556</w:t>
            </w:r>
            <w:r w:rsidR="0045362D">
              <w:rPr>
                <w:rFonts w:eastAsia="Times New Roman" w:cs="Calibri"/>
                <w:b/>
                <w:bCs/>
                <w:color w:val="000000"/>
                <w:sz w:val="14"/>
                <w:szCs w:val="14"/>
                <w:lang w:eastAsia="es-ES"/>
              </w:rPr>
              <w:t>)</w:t>
            </w:r>
          </w:p>
        </w:tc>
        <w:tc>
          <w:tcPr>
            <w:tcW w:w="1172" w:type="dxa"/>
            <w:tcBorders>
              <w:top w:val="nil"/>
              <w:left w:val="nil"/>
              <w:bottom w:val="nil"/>
              <w:right w:val="nil"/>
            </w:tcBorders>
            <w:shd w:val="clear" w:color="000000" w:fill="BFBFBF"/>
            <w:noWrap/>
            <w:vAlign w:val="bottom"/>
            <w:hideMark/>
          </w:tcPr>
          <w:p w14:paraId="7E6130D3" w14:textId="1869B1C4" w:rsidR="00337F47" w:rsidRPr="005805E3" w:rsidRDefault="0045362D" w:rsidP="00E066D7">
            <w:pPr>
              <w:spacing w:after="0" w:line="240" w:lineRule="auto"/>
              <w:jc w:val="center"/>
              <w:rPr>
                <w:rFonts w:eastAsia="Times New Roman" w:cs="Calibri"/>
                <w:b/>
                <w:bCs/>
                <w:color w:val="000000"/>
                <w:sz w:val="14"/>
                <w:szCs w:val="14"/>
                <w:lang w:eastAsia="es-ES"/>
              </w:rPr>
            </w:pPr>
            <w:r>
              <w:rPr>
                <w:rFonts w:eastAsia="Times New Roman" w:cs="Calibri"/>
                <w:b/>
                <w:bCs/>
                <w:color w:val="000000"/>
                <w:sz w:val="14"/>
                <w:szCs w:val="14"/>
                <w:lang w:eastAsia="es-ES"/>
              </w:rPr>
              <w:t>17.693</w:t>
            </w:r>
          </w:p>
        </w:tc>
        <w:tc>
          <w:tcPr>
            <w:tcW w:w="585" w:type="dxa"/>
            <w:tcBorders>
              <w:top w:val="nil"/>
              <w:left w:val="nil"/>
              <w:bottom w:val="nil"/>
              <w:right w:val="nil"/>
            </w:tcBorders>
            <w:shd w:val="clear" w:color="000000" w:fill="BFBFBF"/>
            <w:noWrap/>
            <w:vAlign w:val="bottom"/>
            <w:hideMark/>
          </w:tcPr>
          <w:p w14:paraId="719AFB98" w14:textId="62F93123" w:rsidR="00337F47" w:rsidRPr="005805E3" w:rsidRDefault="00337F47" w:rsidP="00E066D7">
            <w:pPr>
              <w:spacing w:after="0" w:line="240" w:lineRule="auto"/>
              <w:jc w:val="center"/>
              <w:rPr>
                <w:rFonts w:eastAsia="Times New Roman" w:cs="Calibri"/>
                <w:b/>
                <w:bCs/>
                <w:color w:val="000000"/>
                <w:sz w:val="14"/>
                <w:szCs w:val="14"/>
                <w:lang w:eastAsia="es-ES"/>
              </w:rPr>
            </w:pPr>
            <w:r w:rsidRPr="005805E3">
              <w:rPr>
                <w:rFonts w:eastAsia="Times New Roman" w:cs="Calibri"/>
                <w:b/>
                <w:bCs/>
                <w:color w:val="000000"/>
                <w:sz w:val="14"/>
                <w:szCs w:val="14"/>
                <w:lang w:eastAsia="es-ES"/>
              </w:rPr>
              <w:t>2</w:t>
            </w:r>
            <w:r w:rsidR="003B3435">
              <w:rPr>
                <w:rFonts w:eastAsia="Times New Roman" w:cs="Calibri"/>
                <w:b/>
                <w:bCs/>
                <w:color w:val="000000"/>
                <w:sz w:val="14"/>
                <w:szCs w:val="14"/>
                <w:lang w:eastAsia="es-ES"/>
              </w:rPr>
              <w:t>4</w:t>
            </w:r>
            <w:r w:rsidRPr="005805E3">
              <w:rPr>
                <w:rFonts w:eastAsia="Times New Roman" w:cs="Calibri"/>
                <w:b/>
                <w:bCs/>
                <w:color w:val="000000"/>
                <w:sz w:val="14"/>
                <w:szCs w:val="14"/>
                <w:lang w:eastAsia="es-ES"/>
              </w:rPr>
              <w:t>%</w:t>
            </w:r>
          </w:p>
        </w:tc>
      </w:tr>
      <w:tr w:rsidR="00E2172A" w:rsidRPr="005805E3" w14:paraId="31BED39C" w14:textId="77777777" w:rsidTr="00E066D7">
        <w:trPr>
          <w:trHeight w:val="332"/>
        </w:trPr>
        <w:tc>
          <w:tcPr>
            <w:tcW w:w="3496" w:type="dxa"/>
            <w:tcBorders>
              <w:top w:val="nil"/>
              <w:left w:val="nil"/>
              <w:bottom w:val="nil"/>
              <w:right w:val="nil"/>
            </w:tcBorders>
            <w:shd w:val="clear" w:color="auto" w:fill="7F7F7F" w:themeFill="text1" w:themeFillTint="80"/>
            <w:noWrap/>
            <w:vAlign w:val="bottom"/>
          </w:tcPr>
          <w:p w14:paraId="0B096C48" w14:textId="61BECD57" w:rsidR="00E2172A" w:rsidRPr="005805E3" w:rsidRDefault="00E2172A" w:rsidP="00695E28">
            <w:pPr>
              <w:spacing w:after="0" w:line="240" w:lineRule="auto"/>
              <w:rPr>
                <w:rFonts w:eastAsia="Times New Roman" w:cs="Calibri"/>
                <w:b/>
                <w:bCs/>
                <w:color w:val="000000"/>
                <w:sz w:val="14"/>
                <w:szCs w:val="14"/>
                <w:lang w:eastAsia="es-ES"/>
              </w:rPr>
            </w:pPr>
            <w:r>
              <w:rPr>
                <w:rFonts w:eastAsia="Times New Roman" w:cs="Calibri"/>
                <w:b/>
                <w:bCs/>
                <w:color w:val="000000"/>
                <w:sz w:val="14"/>
                <w:szCs w:val="14"/>
                <w:lang w:eastAsia="es-ES"/>
              </w:rPr>
              <w:t>RESULTADO DE EXPLOTACIÓN</w:t>
            </w:r>
          </w:p>
        </w:tc>
        <w:tc>
          <w:tcPr>
            <w:tcW w:w="972" w:type="dxa"/>
            <w:tcBorders>
              <w:top w:val="nil"/>
              <w:left w:val="nil"/>
              <w:bottom w:val="nil"/>
              <w:right w:val="nil"/>
            </w:tcBorders>
            <w:shd w:val="clear" w:color="auto" w:fill="7F7F7F" w:themeFill="text1" w:themeFillTint="80"/>
            <w:noWrap/>
            <w:vAlign w:val="bottom"/>
          </w:tcPr>
          <w:p w14:paraId="038BB9F0" w14:textId="3475662E" w:rsidR="00E2172A" w:rsidRPr="005805E3" w:rsidRDefault="00E2172A" w:rsidP="00695E28">
            <w:pPr>
              <w:spacing w:after="0" w:line="240" w:lineRule="auto"/>
              <w:rPr>
                <w:rFonts w:eastAsia="Times New Roman" w:cs="Calibri"/>
                <w:b/>
                <w:bCs/>
                <w:color w:val="000000"/>
                <w:sz w:val="14"/>
                <w:szCs w:val="14"/>
                <w:lang w:eastAsia="es-ES"/>
              </w:rPr>
            </w:pPr>
          </w:p>
        </w:tc>
        <w:tc>
          <w:tcPr>
            <w:tcW w:w="1249" w:type="dxa"/>
            <w:tcBorders>
              <w:top w:val="nil"/>
              <w:left w:val="nil"/>
              <w:bottom w:val="nil"/>
              <w:right w:val="nil"/>
            </w:tcBorders>
            <w:shd w:val="clear" w:color="auto" w:fill="7F7F7F" w:themeFill="text1" w:themeFillTint="80"/>
            <w:noWrap/>
            <w:vAlign w:val="bottom"/>
          </w:tcPr>
          <w:p w14:paraId="2268CD02" w14:textId="1669483E" w:rsidR="00E2172A" w:rsidRPr="005805E3" w:rsidRDefault="00E2172A" w:rsidP="00E066D7">
            <w:pPr>
              <w:spacing w:after="0" w:line="240" w:lineRule="auto"/>
              <w:jc w:val="center"/>
              <w:rPr>
                <w:rFonts w:eastAsia="Times New Roman" w:cs="Calibri"/>
                <w:b/>
                <w:bCs/>
                <w:color w:val="000000"/>
                <w:sz w:val="14"/>
                <w:szCs w:val="14"/>
                <w:lang w:eastAsia="es-ES"/>
              </w:rPr>
            </w:pPr>
            <w:r>
              <w:rPr>
                <w:rFonts w:eastAsia="Times New Roman" w:cs="Calibri"/>
                <w:b/>
                <w:bCs/>
                <w:color w:val="000000"/>
                <w:sz w:val="14"/>
                <w:szCs w:val="14"/>
                <w:lang w:eastAsia="es-ES"/>
              </w:rPr>
              <w:t>18.880</w:t>
            </w:r>
          </w:p>
        </w:tc>
        <w:tc>
          <w:tcPr>
            <w:tcW w:w="1318" w:type="dxa"/>
            <w:tcBorders>
              <w:top w:val="nil"/>
              <w:left w:val="nil"/>
              <w:bottom w:val="nil"/>
              <w:right w:val="nil"/>
            </w:tcBorders>
            <w:shd w:val="clear" w:color="auto" w:fill="7F7F7F" w:themeFill="text1" w:themeFillTint="80"/>
            <w:noWrap/>
            <w:vAlign w:val="bottom"/>
          </w:tcPr>
          <w:p w14:paraId="298D8EA2" w14:textId="090B69E1" w:rsidR="00E2172A" w:rsidRPr="005805E3" w:rsidRDefault="00E2172A" w:rsidP="00E066D7">
            <w:pPr>
              <w:spacing w:after="0" w:line="240" w:lineRule="auto"/>
              <w:jc w:val="center"/>
              <w:rPr>
                <w:rFonts w:eastAsia="Times New Roman" w:cs="Calibri"/>
                <w:b/>
                <w:bCs/>
                <w:color w:val="000000"/>
                <w:sz w:val="14"/>
                <w:szCs w:val="14"/>
                <w:lang w:eastAsia="es-ES"/>
              </w:rPr>
            </w:pPr>
            <w:r>
              <w:rPr>
                <w:rFonts w:eastAsia="Times New Roman" w:cs="Calibri"/>
                <w:b/>
                <w:bCs/>
                <w:color w:val="000000"/>
                <w:sz w:val="14"/>
                <w:szCs w:val="14"/>
                <w:lang w:eastAsia="es-ES"/>
              </w:rPr>
              <w:t>2.146</w:t>
            </w:r>
          </w:p>
        </w:tc>
        <w:tc>
          <w:tcPr>
            <w:tcW w:w="1172" w:type="dxa"/>
            <w:tcBorders>
              <w:top w:val="nil"/>
              <w:left w:val="nil"/>
              <w:bottom w:val="nil"/>
              <w:right w:val="nil"/>
            </w:tcBorders>
            <w:shd w:val="clear" w:color="auto" w:fill="7F7F7F" w:themeFill="text1" w:themeFillTint="80"/>
            <w:noWrap/>
            <w:vAlign w:val="bottom"/>
          </w:tcPr>
          <w:p w14:paraId="36A5AC93" w14:textId="61F25E30" w:rsidR="00E2172A" w:rsidRDefault="00E2172A" w:rsidP="00E066D7">
            <w:pPr>
              <w:spacing w:after="0" w:line="240" w:lineRule="auto"/>
              <w:jc w:val="center"/>
              <w:rPr>
                <w:rFonts w:eastAsia="Times New Roman" w:cs="Calibri"/>
                <w:b/>
                <w:bCs/>
                <w:color w:val="000000"/>
                <w:sz w:val="14"/>
                <w:szCs w:val="14"/>
                <w:lang w:eastAsia="es-ES"/>
              </w:rPr>
            </w:pPr>
            <w:r>
              <w:rPr>
                <w:rFonts w:eastAsia="Times New Roman" w:cs="Calibri"/>
                <w:b/>
                <w:bCs/>
                <w:color w:val="000000"/>
                <w:sz w:val="14"/>
                <w:szCs w:val="14"/>
                <w:lang w:eastAsia="es-ES"/>
              </w:rPr>
              <w:t>16.734</w:t>
            </w:r>
          </w:p>
        </w:tc>
        <w:tc>
          <w:tcPr>
            <w:tcW w:w="585" w:type="dxa"/>
            <w:tcBorders>
              <w:top w:val="nil"/>
              <w:left w:val="nil"/>
              <w:bottom w:val="nil"/>
              <w:right w:val="nil"/>
            </w:tcBorders>
            <w:shd w:val="clear" w:color="auto" w:fill="7F7F7F" w:themeFill="text1" w:themeFillTint="80"/>
            <w:noWrap/>
            <w:vAlign w:val="bottom"/>
          </w:tcPr>
          <w:p w14:paraId="0CDA676F" w14:textId="330A7F0F" w:rsidR="00E2172A" w:rsidRPr="005805E3" w:rsidRDefault="00E2172A" w:rsidP="00E066D7">
            <w:pPr>
              <w:spacing w:after="0" w:line="240" w:lineRule="auto"/>
              <w:jc w:val="center"/>
              <w:rPr>
                <w:rFonts w:eastAsia="Times New Roman" w:cs="Calibri"/>
                <w:b/>
                <w:bCs/>
                <w:color w:val="000000"/>
                <w:sz w:val="14"/>
                <w:szCs w:val="14"/>
                <w:lang w:eastAsia="es-ES"/>
              </w:rPr>
            </w:pPr>
            <w:r>
              <w:rPr>
                <w:rFonts w:eastAsia="Times New Roman" w:cs="Calibri"/>
                <w:b/>
                <w:bCs/>
                <w:color w:val="000000"/>
                <w:sz w:val="14"/>
                <w:szCs w:val="14"/>
                <w:lang w:eastAsia="es-ES"/>
              </w:rPr>
              <w:t>-89%</w:t>
            </w:r>
          </w:p>
        </w:tc>
      </w:tr>
      <w:tr w:rsidR="003B3435" w:rsidRPr="005805E3" w14:paraId="4E175F82" w14:textId="77777777" w:rsidTr="00E066D7">
        <w:trPr>
          <w:trHeight w:val="332"/>
        </w:trPr>
        <w:tc>
          <w:tcPr>
            <w:tcW w:w="3496" w:type="dxa"/>
            <w:tcBorders>
              <w:top w:val="nil"/>
              <w:left w:val="nil"/>
              <w:bottom w:val="nil"/>
              <w:right w:val="nil"/>
            </w:tcBorders>
            <w:shd w:val="clear" w:color="auto" w:fill="auto"/>
            <w:noWrap/>
            <w:vAlign w:val="bottom"/>
            <w:hideMark/>
          </w:tcPr>
          <w:p w14:paraId="2CB739D7" w14:textId="3F33FD4C" w:rsidR="003B3435" w:rsidRPr="005805E3" w:rsidRDefault="003B3435" w:rsidP="00695E28">
            <w:pPr>
              <w:spacing w:after="0" w:line="240" w:lineRule="auto"/>
              <w:rPr>
                <w:rFonts w:eastAsia="Times New Roman" w:cs="Calibri"/>
                <w:b/>
                <w:bCs/>
                <w:sz w:val="14"/>
                <w:szCs w:val="14"/>
                <w:lang w:eastAsia="es-ES"/>
              </w:rPr>
            </w:pPr>
          </w:p>
        </w:tc>
        <w:tc>
          <w:tcPr>
            <w:tcW w:w="972" w:type="dxa"/>
            <w:tcBorders>
              <w:top w:val="nil"/>
              <w:left w:val="nil"/>
              <w:bottom w:val="nil"/>
              <w:right w:val="nil"/>
            </w:tcBorders>
            <w:shd w:val="clear" w:color="auto" w:fill="auto"/>
            <w:noWrap/>
            <w:vAlign w:val="center"/>
            <w:hideMark/>
          </w:tcPr>
          <w:p w14:paraId="0C32B80A" w14:textId="48891930" w:rsidR="003B3435" w:rsidRPr="005805E3" w:rsidRDefault="003B3435" w:rsidP="00695E28">
            <w:pPr>
              <w:spacing w:after="0" w:line="240" w:lineRule="auto"/>
              <w:rPr>
                <w:rFonts w:eastAsia="Times New Roman" w:cs="Calibri"/>
                <w:b/>
                <w:bCs/>
                <w:sz w:val="14"/>
                <w:szCs w:val="14"/>
                <w:lang w:eastAsia="es-ES"/>
              </w:rPr>
            </w:pPr>
          </w:p>
        </w:tc>
        <w:tc>
          <w:tcPr>
            <w:tcW w:w="1249" w:type="dxa"/>
            <w:tcBorders>
              <w:top w:val="nil"/>
              <w:left w:val="nil"/>
              <w:bottom w:val="nil"/>
              <w:right w:val="nil"/>
            </w:tcBorders>
            <w:shd w:val="clear" w:color="auto" w:fill="auto"/>
            <w:noWrap/>
            <w:vAlign w:val="bottom"/>
            <w:hideMark/>
          </w:tcPr>
          <w:p w14:paraId="10CB0BB6" w14:textId="4E981257" w:rsidR="003B3435" w:rsidRPr="005805E3" w:rsidRDefault="003B3435" w:rsidP="00E066D7">
            <w:pPr>
              <w:spacing w:after="0" w:line="240" w:lineRule="auto"/>
              <w:jc w:val="center"/>
              <w:rPr>
                <w:rFonts w:eastAsia="Times New Roman" w:cs="Calibri"/>
                <w:b/>
                <w:bCs/>
                <w:sz w:val="14"/>
                <w:szCs w:val="14"/>
                <w:lang w:eastAsia="es-ES"/>
              </w:rPr>
            </w:pPr>
          </w:p>
        </w:tc>
        <w:tc>
          <w:tcPr>
            <w:tcW w:w="1318" w:type="dxa"/>
            <w:tcBorders>
              <w:top w:val="nil"/>
              <w:left w:val="nil"/>
              <w:bottom w:val="nil"/>
              <w:right w:val="nil"/>
            </w:tcBorders>
            <w:shd w:val="clear" w:color="auto" w:fill="auto"/>
            <w:noWrap/>
            <w:vAlign w:val="bottom"/>
            <w:hideMark/>
          </w:tcPr>
          <w:p w14:paraId="588D01CF" w14:textId="3B046D85" w:rsidR="003B3435" w:rsidRPr="005805E3" w:rsidRDefault="003B3435" w:rsidP="00E066D7">
            <w:pPr>
              <w:spacing w:after="0" w:line="240" w:lineRule="auto"/>
              <w:jc w:val="center"/>
              <w:rPr>
                <w:rFonts w:eastAsia="Times New Roman" w:cs="Calibri"/>
                <w:b/>
                <w:bCs/>
                <w:sz w:val="14"/>
                <w:szCs w:val="14"/>
                <w:lang w:eastAsia="es-ES"/>
              </w:rPr>
            </w:pPr>
          </w:p>
        </w:tc>
        <w:tc>
          <w:tcPr>
            <w:tcW w:w="1172" w:type="dxa"/>
            <w:tcBorders>
              <w:top w:val="nil"/>
              <w:left w:val="nil"/>
              <w:bottom w:val="nil"/>
              <w:right w:val="nil"/>
            </w:tcBorders>
            <w:shd w:val="clear" w:color="000000" w:fill="FFFFFF"/>
            <w:noWrap/>
            <w:vAlign w:val="bottom"/>
            <w:hideMark/>
          </w:tcPr>
          <w:p w14:paraId="348B40FC" w14:textId="33EA5FF5" w:rsidR="003B3435" w:rsidRPr="005805E3" w:rsidRDefault="003B3435" w:rsidP="00E066D7">
            <w:pPr>
              <w:spacing w:after="0" w:line="240" w:lineRule="auto"/>
              <w:jc w:val="center"/>
              <w:rPr>
                <w:rFonts w:eastAsia="Times New Roman" w:cs="Calibri"/>
                <w:b/>
                <w:bCs/>
                <w:color w:val="000000"/>
                <w:sz w:val="14"/>
                <w:szCs w:val="14"/>
                <w:lang w:eastAsia="es-ES"/>
              </w:rPr>
            </w:pPr>
          </w:p>
        </w:tc>
        <w:tc>
          <w:tcPr>
            <w:tcW w:w="585" w:type="dxa"/>
            <w:tcBorders>
              <w:top w:val="nil"/>
              <w:left w:val="nil"/>
              <w:bottom w:val="nil"/>
              <w:right w:val="nil"/>
            </w:tcBorders>
            <w:shd w:val="clear" w:color="000000" w:fill="FFFFFF"/>
            <w:noWrap/>
            <w:vAlign w:val="bottom"/>
            <w:hideMark/>
          </w:tcPr>
          <w:p w14:paraId="5D48D4C5" w14:textId="41700F46" w:rsidR="003B3435" w:rsidRPr="005805E3" w:rsidRDefault="003B3435" w:rsidP="00E066D7">
            <w:pPr>
              <w:spacing w:after="0" w:line="240" w:lineRule="auto"/>
              <w:jc w:val="center"/>
              <w:rPr>
                <w:rFonts w:eastAsia="Times New Roman" w:cs="Calibri"/>
                <w:b/>
                <w:bCs/>
                <w:color w:val="000000"/>
                <w:sz w:val="14"/>
                <w:szCs w:val="14"/>
                <w:lang w:eastAsia="es-ES"/>
              </w:rPr>
            </w:pPr>
          </w:p>
        </w:tc>
      </w:tr>
      <w:tr w:rsidR="003B3435" w:rsidRPr="005805E3" w14:paraId="1CFA244F" w14:textId="77777777" w:rsidTr="00E066D7">
        <w:trPr>
          <w:trHeight w:val="332"/>
        </w:trPr>
        <w:tc>
          <w:tcPr>
            <w:tcW w:w="3496" w:type="dxa"/>
            <w:tcBorders>
              <w:top w:val="nil"/>
              <w:left w:val="nil"/>
              <w:bottom w:val="nil"/>
              <w:right w:val="nil"/>
            </w:tcBorders>
            <w:shd w:val="clear" w:color="auto" w:fill="C00000"/>
            <w:noWrap/>
            <w:vAlign w:val="bottom"/>
            <w:hideMark/>
          </w:tcPr>
          <w:p w14:paraId="71B7E52D" w14:textId="34DB5E23" w:rsidR="003B3435" w:rsidRPr="005805E3" w:rsidRDefault="003B3435" w:rsidP="00695E28">
            <w:pPr>
              <w:spacing w:after="0" w:line="240" w:lineRule="auto"/>
              <w:rPr>
                <w:rFonts w:eastAsia="Times New Roman" w:cs="Calibri"/>
                <w:color w:val="000000"/>
                <w:sz w:val="14"/>
                <w:szCs w:val="14"/>
                <w:lang w:eastAsia="es-ES"/>
              </w:rPr>
            </w:pPr>
            <w:r w:rsidRPr="005805E3">
              <w:rPr>
                <w:rStyle w:val="nfasissutil"/>
                <w:sz w:val="14"/>
                <w:szCs w:val="14"/>
              </w:rPr>
              <w:t>RESULTADO DEL EJERCICIO</w:t>
            </w:r>
          </w:p>
        </w:tc>
        <w:tc>
          <w:tcPr>
            <w:tcW w:w="972" w:type="dxa"/>
            <w:tcBorders>
              <w:top w:val="nil"/>
              <w:left w:val="nil"/>
              <w:bottom w:val="nil"/>
              <w:right w:val="nil"/>
            </w:tcBorders>
            <w:shd w:val="clear" w:color="auto" w:fill="C00000"/>
            <w:noWrap/>
            <w:vAlign w:val="bottom"/>
            <w:hideMark/>
          </w:tcPr>
          <w:p w14:paraId="36DFDF37" w14:textId="377D2F89" w:rsidR="003B3435" w:rsidRPr="005805E3" w:rsidRDefault="003B3435" w:rsidP="00695E28">
            <w:pPr>
              <w:spacing w:after="0" w:line="240" w:lineRule="auto"/>
              <w:jc w:val="center"/>
              <w:rPr>
                <w:rFonts w:eastAsia="Times New Roman" w:cs="Calibri"/>
                <w:b/>
                <w:bCs/>
                <w:sz w:val="14"/>
                <w:szCs w:val="14"/>
                <w:lang w:eastAsia="es-ES"/>
              </w:rPr>
            </w:pPr>
            <w:r w:rsidRPr="005805E3">
              <w:rPr>
                <w:rStyle w:val="nfasissutil"/>
                <w:sz w:val="14"/>
                <w:szCs w:val="14"/>
              </w:rPr>
              <w:t> </w:t>
            </w:r>
          </w:p>
        </w:tc>
        <w:tc>
          <w:tcPr>
            <w:tcW w:w="1249" w:type="dxa"/>
            <w:tcBorders>
              <w:top w:val="nil"/>
              <w:left w:val="nil"/>
              <w:bottom w:val="nil"/>
              <w:right w:val="nil"/>
            </w:tcBorders>
            <w:shd w:val="clear" w:color="auto" w:fill="C00000"/>
            <w:noWrap/>
            <w:vAlign w:val="bottom"/>
            <w:hideMark/>
          </w:tcPr>
          <w:p w14:paraId="4583222A" w14:textId="0FF057BF" w:rsidR="003B3435" w:rsidRPr="005805E3" w:rsidRDefault="005B7C59" w:rsidP="00E066D7">
            <w:pPr>
              <w:spacing w:after="0" w:line="240" w:lineRule="auto"/>
              <w:jc w:val="center"/>
              <w:rPr>
                <w:rFonts w:eastAsia="Times New Roman" w:cs="Calibri"/>
                <w:sz w:val="14"/>
                <w:szCs w:val="14"/>
                <w:lang w:eastAsia="es-ES"/>
              </w:rPr>
            </w:pPr>
            <w:r>
              <w:rPr>
                <w:rStyle w:val="nfasissutil"/>
                <w:sz w:val="14"/>
                <w:szCs w:val="14"/>
              </w:rPr>
              <w:t>18.880</w:t>
            </w:r>
          </w:p>
        </w:tc>
        <w:tc>
          <w:tcPr>
            <w:tcW w:w="1318" w:type="dxa"/>
            <w:tcBorders>
              <w:top w:val="nil"/>
              <w:left w:val="nil"/>
              <w:bottom w:val="nil"/>
              <w:right w:val="nil"/>
            </w:tcBorders>
            <w:shd w:val="clear" w:color="auto" w:fill="C00000"/>
            <w:noWrap/>
            <w:vAlign w:val="bottom"/>
            <w:hideMark/>
          </w:tcPr>
          <w:p w14:paraId="52C26F49" w14:textId="753FFFCB" w:rsidR="003B3435" w:rsidRPr="005805E3" w:rsidRDefault="00B46E68" w:rsidP="00E066D7">
            <w:pPr>
              <w:spacing w:after="0" w:line="240" w:lineRule="auto"/>
              <w:jc w:val="center"/>
              <w:rPr>
                <w:rFonts w:eastAsia="Times New Roman" w:cs="Calibri"/>
                <w:sz w:val="14"/>
                <w:szCs w:val="14"/>
                <w:lang w:eastAsia="es-ES"/>
              </w:rPr>
            </w:pPr>
            <w:r>
              <w:rPr>
                <w:rStyle w:val="nfasissutil"/>
                <w:sz w:val="14"/>
                <w:szCs w:val="14"/>
              </w:rPr>
              <w:t>2.146</w:t>
            </w:r>
          </w:p>
        </w:tc>
        <w:tc>
          <w:tcPr>
            <w:tcW w:w="1172" w:type="dxa"/>
            <w:tcBorders>
              <w:top w:val="nil"/>
              <w:left w:val="nil"/>
              <w:bottom w:val="nil"/>
              <w:right w:val="nil"/>
            </w:tcBorders>
            <w:shd w:val="clear" w:color="auto" w:fill="C00000"/>
            <w:noWrap/>
            <w:vAlign w:val="bottom"/>
            <w:hideMark/>
          </w:tcPr>
          <w:p w14:paraId="08342F0C" w14:textId="42C16CB9" w:rsidR="003B3435" w:rsidRPr="005805E3" w:rsidRDefault="00B46E68" w:rsidP="00E066D7">
            <w:pPr>
              <w:spacing w:after="0" w:line="240" w:lineRule="auto"/>
              <w:jc w:val="center"/>
              <w:rPr>
                <w:rFonts w:eastAsia="Times New Roman" w:cs="Calibri"/>
                <w:color w:val="000000"/>
                <w:sz w:val="14"/>
                <w:szCs w:val="14"/>
                <w:lang w:eastAsia="es-ES"/>
              </w:rPr>
            </w:pPr>
            <w:r>
              <w:rPr>
                <w:rStyle w:val="nfasissutil"/>
                <w:sz w:val="14"/>
                <w:szCs w:val="14"/>
              </w:rPr>
              <w:t>16.734</w:t>
            </w:r>
          </w:p>
        </w:tc>
        <w:tc>
          <w:tcPr>
            <w:tcW w:w="585" w:type="dxa"/>
            <w:tcBorders>
              <w:top w:val="nil"/>
              <w:left w:val="nil"/>
              <w:bottom w:val="nil"/>
              <w:right w:val="nil"/>
            </w:tcBorders>
            <w:shd w:val="clear" w:color="auto" w:fill="C00000"/>
            <w:noWrap/>
            <w:vAlign w:val="bottom"/>
            <w:hideMark/>
          </w:tcPr>
          <w:p w14:paraId="54FD8592" w14:textId="40971737" w:rsidR="003B3435" w:rsidRPr="005805E3" w:rsidRDefault="00B46E68" w:rsidP="00E066D7">
            <w:pPr>
              <w:spacing w:after="0" w:line="240" w:lineRule="auto"/>
              <w:jc w:val="center"/>
              <w:rPr>
                <w:rFonts w:eastAsia="Times New Roman" w:cs="Calibri"/>
                <w:color w:val="000000"/>
                <w:sz w:val="14"/>
                <w:szCs w:val="14"/>
                <w:lang w:eastAsia="es-ES"/>
              </w:rPr>
            </w:pPr>
            <w:r>
              <w:rPr>
                <w:rStyle w:val="nfasissutil"/>
                <w:sz w:val="14"/>
                <w:szCs w:val="14"/>
              </w:rPr>
              <w:t>-89</w:t>
            </w:r>
            <w:r w:rsidR="003B3435" w:rsidRPr="005805E3">
              <w:rPr>
                <w:rStyle w:val="nfasissutil"/>
                <w:sz w:val="14"/>
                <w:szCs w:val="14"/>
              </w:rPr>
              <w:t>%</w:t>
            </w:r>
          </w:p>
        </w:tc>
      </w:tr>
      <w:tr w:rsidR="003B3435" w:rsidRPr="005805E3" w14:paraId="19A9A69A" w14:textId="77777777" w:rsidTr="00E066D7">
        <w:trPr>
          <w:trHeight w:val="332"/>
        </w:trPr>
        <w:tc>
          <w:tcPr>
            <w:tcW w:w="3496" w:type="dxa"/>
            <w:tcBorders>
              <w:top w:val="nil"/>
              <w:left w:val="nil"/>
              <w:bottom w:val="nil"/>
              <w:right w:val="nil"/>
            </w:tcBorders>
            <w:shd w:val="clear" w:color="auto" w:fill="auto"/>
            <w:noWrap/>
            <w:vAlign w:val="bottom"/>
          </w:tcPr>
          <w:p w14:paraId="18F6EBAE" w14:textId="77777777" w:rsidR="003B3435" w:rsidRPr="005805E3" w:rsidRDefault="003B3435" w:rsidP="00695E28">
            <w:pPr>
              <w:spacing w:after="0" w:line="240" w:lineRule="auto"/>
              <w:rPr>
                <w:rFonts w:eastAsia="Times New Roman" w:cs="Calibri"/>
                <w:color w:val="000000"/>
                <w:sz w:val="14"/>
                <w:szCs w:val="14"/>
                <w:lang w:eastAsia="es-ES"/>
              </w:rPr>
            </w:pPr>
          </w:p>
        </w:tc>
        <w:tc>
          <w:tcPr>
            <w:tcW w:w="972" w:type="dxa"/>
            <w:tcBorders>
              <w:top w:val="nil"/>
              <w:left w:val="nil"/>
              <w:bottom w:val="nil"/>
              <w:right w:val="nil"/>
            </w:tcBorders>
            <w:shd w:val="clear" w:color="auto" w:fill="auto"/>
            <w:noWrap/>
            <w:vAlign w:val="center"/>
          </w:tcPr>
          <w:p w14:paraId="53BC3EC9" w14:textId="77777777" w:rsidR="003B3435" w:rsidRPr="005805E3" w:rsidRDefault="003B3435" w:rsidP="00695E28">
            <w:pPr>
              <w:spacing w:after="0" w:line="240" w:lineRule="auto"/>
              <w:jc w:val="center"/>
              <w:rPr>
                <w:rFonts w:eastAsia="Times New Roman" w:cs="Calibri"/>
                <w:b/>
                <w:bCs/>
                <w:sz w:val="14"/>
                <w:szCs w:val="14"/>
                <w:lang w:eastAsia="es-ES"/>
              </w:rPr>
            </w:pPr>
          </w:p>
        </w:tc>
        <w:tc>
          <w:tcPr>
            <w:tcW w:w="1249" w:type="dxa"/>
            <w:tcBorders>
              <w:top w:val="nil"/>
              <w:left w:val="nil"/>
              <w:bottom w:val="nil"/>
              <w:right w:val="nil"/>
            </w:tcBorders>
            <w:shd w:val="clear" w:color="auto" w:fill="auto"/>
            <w:noWrap/>
            <w:vAlign w:val="bottom"/>
          </w:tcPr>
          <w:p w14:paraId="77C19748" w14:textId="77777777" w:rsidR="003B3435" w:rsidRPr="005805E3" w:rsidRDefault="003B3435" w:rsidP="00695E28">
            <w:pPr>
              <w:spacing w:after="0" w:line="240" w:lineRule="auto"/>
              <w:jc w:val="center"/>
              <w:rPr>
                <w:rFonts w:eastAsia="Times New Roman" w:cs="Calibri"/>
                <w:sz w:val="14"/>
                <w:szCs w:val="14"/>
                <w:lang w:eastAsia="es-ES"/>
              </w:rPr>
            </w:pPr>
          </w:p>
        </w:tc>
        <w:tc>
          <w:tcPr>
            <w:tcW w:w="1318" w:type="dxa"/>
            <w:tcBorders>
              <w:top w:val="nil"/>
              <w:left w:val="nil"/>
              <w:bottom w:val="nil"/>
              <w:right w:val="nil"/>
            </w:tcBorders>
            <w:shd w:val="clear" w:color="auto" w:fill="auto"/>
            <w:noWrap/>
            <w:vAlign w:val="bottom"/>
          </w:tcPr>
          <w:p w14:paraId="58D5A56F" w14:textId="77777777" w:rsidR="003B3435" w:rsidRPr="005805E3" w:rsidRDefault="003B3435" w:rsidP="00695E28">
            <w:pPr>
              <w:spacing w:after="0" w:line="240" w:lineRule="auto"/>
              <w:jc w:val="center"/>
              <w:rPr>
                <w:rFonts w:eastAsia="Times New Roman" w:cs="Calibri"/>
                <w:sz w:val="14"/>
                <w:szCs w:val="14"/>
                <w:lang w:eastAsia="es-ES"/>
              </w:rPr>
            </w:pPr>
          </w:p>
        </w:tc>
        <w:tc>
          <w:tcPr>
            <w:tcW w:w="1172" w:type="dxa"/>
            <w:tcBorders>
              <w:top w:val="nil"/>
              <w:left w:val="nil"/>
              <w:bottom w:val="nil"/>
              <w:right w:val="nil"/>
            </w:tcBorders>
            <w:shd w:val="clear" w:color="000000" w:fill="FFFFFF"/>
            <w:noWrap/>
            <w:vAlign w:val="bottom"/>
          </w:tcPr>
          <w:p w14:paraId="17386BF8" w14:textId="77777777" w:rsidR="003B3435" w:rsidRPr="005805E3" w:rsidRDefault="003B3435" w:rsidP="00695E28">
            <w:pPr>
              <w:spacing w:after="0" w:line="240" w:lineRule="auto"/>
              <w:jc w:val="center"/>
              <w:rPr>
                <w:rFonts w:eastAsia="Times New Roman" w:cs="Calibri"/>
                <w:color w:val="000000"/>
                <w:sz w:val="14"/>
                <w:szCs w:val="14"/>
                <w:lang w:eastAsia="es-ES"/>
              </w:rPr>
            </w:pPr>
          </w:p>
        </w:tc>
        <w:tc>
          <w:tcPr>
            <w:tcW w:w="585" w:type="dxa"/>
            <w:tcBorders>
              <w:top w:val="nil"/>
              <w:left w:val="nil"/>
              <w:bottom w:val="nil"/>
              <w:right w:val="nil"/>
            </w:tcBorders>
            <w:shd w:val="clear" w:color="000000" w:fill="FFFFFF"/>
            <w:noWrap/>
            <w:vAlign w:val="bottom"/>
          </w:tcPr>
          <w:p w14:paraId="6A92B7FF" w14:textId="77777777" w:rsidR="003B3435" w:rsidRPr="005805E3" w:rsidRDefault="003B3435" w:rsidP="00695E28">
            <w:pPr>
              <w:spacing w:after="0" w:line="240" w:lineRule="auto"/>
              <w:jc w:val="center"/>
              <w:rPr>
                <w:rFonts w:eastAsia="Times New Roman" w:cs="Calibri"/>
                <w:color w:val="000000"/>
                <w:sz w:val="14"/>
                <w:szCs w:val="14"/>
                <w:lang w:eastAsia="es-ES"/>
              </w:rPr>
            </w:pPr>
          </w:p>
        </w:tc>
      </w:tr>
    </w:tbl>
    <w:p w14:paraId="3EFF8136" w14:textId="0DC606BD" w:rsidR="00E22D11" w:rsidRPr="00EB6871" w:rsidRDefault="00E22D11" w:rsidP="00084399">
      <w:r w:rsidRPr="00EB6871">
        <w:br w:type="page"/>
      </w:r>
    </w:p>
    <w:p w14:paraId="63E940BA" w14:textId="77E7246E" w:rsidR="00177491" w:rsidRPr="00E13D58" w:rsidRDefault="00177491" w:rsidP="00E13D58">
      <w:pPr>
        <w:pStyle w:val="Ttulo2"/>
      </w:pPr>
      <w:bookmarkStart w:id="8" w:name="_Toc85297116"/>
      <w:r w:rsidRPr="00E13D58">
        <w:lastRenderedPageBreak/>
        <w:t>3.2 Resumen de variaciones del presupuesto 202</w:t>
      </w:r>
      <w:r w:rsidR="003B3435">
        <w:t>2</w:t>
      </w:r>
      <w:r w:rsidRPr="00E13D58">
        <w:t xml:space="preserve"> vs previsión de cierre</w:t>
      </w:r>
      <w:r w:rsidR="00FD1DCD" w:rsidRPr="00E13D58">
        <w:t xml:space="preserve"> </w:t>
      </w:r>
      <w:r w:rsidRPr="00E13D58">
        <w:t>202</w:t>
      </w:r>
      <w:r w:rsidR="003B3435">
        <w:t>1</w:t>
      </w:r>
      <w:bookmarkEnd w:id="8"/>
    </w:p>
    <w:p w14:paraId="066515E3" w14:textId="77777777" w:rsidR="00177491" w:rsidRPr="00EB6871" w:rsidRDefault="00177491" w:rsidP="00084399"/>
    <w:p w14:paraId="3A1B13C5" w14:textId="27681C73" w:rsidR="00177491" w:rsidRPr="00EB6871" w:rsidRDefault="00177491" w:rsidP="00FA1E85">
      <w:pPr>
        <w:jc w:val="left"/>
      </w:pPr>
      <w:r w:rsidRPr="00EB6871">
        <w:t>Los ingresos para el ejercicio 202</w:t>
      </w:r>
      <w:r w:rsidR="003B3435">
        <w:t>2</w:t>
      </w:r>
      <w:r w:rsidRPr="00EB6871">
        <w:t xml:space="preserve"> respecto a la previsión de cierre del 202</w:t>
      </w:r>
      <w:r w:rsidR="003B3435">
        <w:t>1</w:t>
      </w:r>
      <w:r w:rsidRPr="00EB6871">
        <w:t xml:space="preserve"> aumentan en un 1</w:t>
      </w:r>
      <w:r w:rsidR="004A127F">
        <w:t>2</w:t>
      </w:r>
      <w:r w:rsidRPr="00EB6871">
        <w:t>% (</w:t>
      </w:r>
      <w:r w:rsidR="00910B58">
        <w:t>2.</w:t>
      </w:r>
      <w:r w:rsidR="004A127F">
        <w:t>1</w:t>
      </w:r>
      <w:r w:rsidR="00910B58">
        <w:t>65</w:t>
      </w:r>
      <w:r w:rsidRPr="00EB6871">
        <w:t xml:space="preserve"> k€). Esto principalmente es debido a que se prevé </w:t>
      </w:r>
      <w:r w:rsidR="00D867A1">
        <w:t>poder tener un nuevo convenio asociado al programa Digital Future Society</w:t>
      </w:r>
      <w:r w:rsidR="00F24016">
        <w:t xml:space="preserve"> por valor de 1.190 k€</w:t>
      </w:r>
      <w:r w:rsidR="000D0453">
        <w:t xml:space="preserve">, así como también un convenio para el programa Observatorio Nacional 5G </w:t>
      </w:r>
      <w:r w:rsidR="0057106D">
        <w:t xml:space="preserve">que se prevé activar 600 k€. </w:t>
      </w:r>
      <w:r w:rsidR="00FC6FC1">
        <w:t>Por último</w:t>
      </w:r>
      <w:r w:rsidR="00F14390">
        <w:t xml:space="preserve">, </w:t>
      </w:r>
      <w:r w:rsidRPr="00EB6871">
        <w:t xml:space="preserve">se espera tener </w:t>
      </w:r>
      <w:r w:rsidR="00FC6FC1">
        <w:t>un mayor número de</w:t>
      </w:r>
      <w:r w:rsidRPr="00EB6871">
        <w:t xml:space="preserve"> </w:t>
      </w:r>
      <w:r w:rsidR="0065362D">
        <w:t>Proyectos Europeos</w:t>
      </w:r>
      <w:r w:rsidR="00FC6FC1">
        <w:t>, así como</w:t>
      </w:r>
      <w:r w:rsidRPr="00EB6871">
        <w:t xml:space="preserve"> recibir donaciones por los actuales patronos u otros nuevos. </w:t>
      </w:r>
    </w:p>
    <w:p w14:paraId="117FFD94" w14:textId="008AE84B" w:rsidR="0015678E" w:rsidRPr="00EB6871" w:rsidRDefault="00177491" w:rsidP="00FA1E85">
      <w:pPr>
        <w:jc w:val="left"/>
      </w:pPr>
      <w:r w:rsidRPr="00E066D7">
        <w:t>En lo que se refiere a los gastos de personal, en 202</w:t>
      </w:r>
      <w:r w:rsidR="0057106D" w:rsidRPr="00E066D7">
        <w:t>2</w:t>
      </w:r>
      <w:r w:rsidRPr="00E066D7">
        <w:t xml:space="preserve"> </w:t>
      </w:r>
      <w:r w:rsidR="0057106D" w:rsidRPr="00E066D7">
        <w:t xml:space="preserve">disminuye el gasto en </w:t>
      </w:r>
      <w:r w:rsidR="00CB57BA" w:rsidRPr="00E066D7">
        <w:t xml:space="preserve">373 k€ (11,6%) </w:t>
      </w:r>
      <w:r w:rsidRPr="00E066D7">
        <w:t>respecto a la previsión de cierre del 202</w:t>
      </w:r>
      <w:r w:rsidR="00CB57BA" w:rsidRPr="00E066D7">
        <w:t>1</w:t>
      </w:r>
      <w:r w:rsidR="00411D41" w:rsidRPr="00E066D7">
        <w:t xml:space="preserve">. </w:t>
      </w:r>
      <w:r w:rsidR="005F3D85" w:rsidRPr="00E066D7">
        <w:t>El gasto</w:t>
      </w:r>
      <w:r w:rsidR="005F3D85">
        <w:t xml:space="preserve"> de personal representa el 14% de los gastos totales respecto al 16% que representaba en el presupuesto presentado el año 2021.</w:t>
      </w:r>
    </w:p>
    <w:p w14:paraId="124A81D8" w14:textId="16A662AD" w:rsidR="005F7088" w:rsidRDefault="00177491" w:rsidP="00FA1E85">
      <w:pPr>
        <w:jc w:val="left"/>
      </w:pPr>
      <w:r w:rsidRPr="00EB6871">
        <w:t>Por último, los costes de explotación aumentan en un 1</w:t>
      </w:r>
      <w:r w:rsidR="004A127F">
        <w:t>7</w:t>
      </w:r>
      <w:r w:rsidRPr="00EB6871">
        <w:t>% (</w:t>
      </w:r>
      <w:r w:rsidR="00C96C7E">
        <w:t>2.</w:t>
      </w:r>
      <w:r w:rsidR="004A127F">
        <w:t>5</w:t>
      </w:r>
      <w:r w:rsidR="00C96C7E">
        <w:t>38</w:t>
      </w:r>
      <w:r w:rsidRPr="00EB6871">
        <w:t xml:space="preserve"> k€) respecto a la previsión de cierre de 202</w:t>
      </w:r>
      <w:r w:rsidR="00C96C7E">
        <w:t>1</w:t>
      </w:r>
      <w:r w:rsidRPr="00EB6871">
        <w:t xml:space="preserve"> en consonancia con el aumento de ingresos, teniendo en cuenta que durante el año 2021 se </w:t>
      </w:r>
      <w:r w:rsidR="00215DCA">
        <w:t>realizarán</w:t>
      </w:r>
      <w:r w:rsidR="005F7088">
        <w:t xml:space="preserve"> más acciones dentro del marco del programa Digital Future Society y Observatorio Nacional</w:t>
      </w:r>
      <w:r w:rsidRPr="00EB6871">
        <w:t>, así como la celebración del MWC Barcelona 2021</w:t>
      </w:r>
      <w:r w:rsidR="0005078E" w:rsidRPr="00EB6871">
        <w:t xml:space="preserve"> </w:t>
      </w:r>
      <w:r w:rsidR="00C96C7E">
        <w:t xml:space="preserve">en febrero de 2022, ya que durante el año 2021 fue un evento más pequeño </w:t>
      </w:r>
      <w:r w:rsidR="00403FD6">
        <w:t xml:space="preserve">para poder activar el ecosistema </w:t>
      </w:r>
      <w:r w:rsidR="00C96C7E">
        <w:t xml:space="preserve">y el próximo se prevé realizar bajo la normalidad de ediciones anteriores a la pandemia. </w:t>
      </w:r>
    </w:p>
    <w:p w14:paraId="20212E45" w14:textId="08243DD9" w:rsidR="00177491" w:rsidRPr="00EB6871" w:rsidRDefault="00215DCA" w:rsidP="00FA1E85">
      <w:pPr>
        <w:jc w:val="left"/>
      </w:pPr>
      <w:r>
        <w:t>Por último</w:t>
      </w:r>
      <w:r w:rsidR="004A127F">
        <w:t>,</w:t>
      </w:r>
      <w:r>
        <w:t xml:space="preserve"> también se prevé </w:t>
      </w:r>
      <w:r w:rsidR="005E3288">
        <w:t>asistir al MWC Shanghai 202</w:t>
      </w:r>
      <w:r w:rsidR="00877372">
        <w:t xml:space="preserve">22 y los Ángeles </w:t>
      </w:r>
      <w:r w:rsidR="00626A61">
        <w:t xml:space="preserve">a través de un convenio </w:t>
      </w:r>
      <w:r w:rsidR="00E30740">
        <w:t xml:space="preserve">de colaboración </w:t>
      </w:r>
      <w:r w:rsidR="00626A61">
        <w:t>con Red.es, Ajuntament de Barcelona</w:t>
      </w:r>
      <w:r w:rsidR="00E30740">
        <w:t>, Generalitat de Catalunya</w:t>
      </w:r>
      <w:r w:rsidR="00257668">
        <w:t xml:space="preserve"> para la </w:t>
      </w:r>
      <w:r w:rsidR="00AD7E36">
        <w:t>“</w:t>
      </w:r>
      <w:r w:rsidR="00257668">
        <w:t>promoción, crecimiento e internalización de empresas españolas de base tecnológica en ecosistemas de referencia</w:t>
      </w:r>
      <w:r w:rsidR="00AD7E36">
        <w:t xml:space="preserve">”. </w:t>
      </w:r>
    </w:p>
    <w:p w14:paraId="6BC9DB28" w14:textId="6BBF5DC9" w:rsidR="00BC2969" w:rsidRPr="00EB6871" w:rsidRDefault="00BC2969" w:rsidP="00084399">
      <w:r w:rsidRPr="00EB6871">
        <w:br w:type="page"/>
      </w:r>
    </w:p>
    <w:p w14:paraId="33F8D8AC" w14:textId="44795D2C" w:rsidR="00177491" w:rsidRPr="00EB6871" w:rsidRDefault="00177491" w:rsidP="00E13D58">
      <w:pPr>
        <w:pStyle w:val="Ttulo2"/>
      </w:pPr>
      <w:bookmarkStart w:id="9" w:name="_Toc85297117"/>
      <w:r w:rsidRPr="00EB6871">
        <w:lastRenderedPageBreak/>
        <w:t>3.3 Detalle de ingresos</w:t>
      </w:r>
      <w:bookmarkEnd w:id="9"/>
    </w:p>
    <w:p w14:paraId="6C9CFC86" w14:textId="4B2DF14D" w:rsidR="00177491" w:rsidRPr="00EB6871" w:rsidRDefault="00D8564C" w:rsidP="00084399">
      <w:r>
        <w:rPr>
          <w:noProof/>
        </w:rPr>
        <w:drawing>
          <wp:inline distT="0" distB="0" distL="0" distR="0" wp14:anchorId="27406DBC" wp14:editId="0851F4EE">
            <wp:extent cx="5106035" cy="22167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6035" cy="2216785"/>
                    </a:xfrm>
                    <a:prstGeom prst="rect">
                      <a:avLst/>
                    </a:prstGeom>
                    <a:noFill/>
                    <a:ln>
                      <a:noFill/>
                    </a:ln>
                  </pic:spPr>
                </pic:pic>
              </a:graphicData>
            </a:graphic>
          </wp:inline>
        </w:drawing>
      </w:r>
    </w:p>
    <w:p w14:paraId="5D9089CD" w14:textId="500773C5" w:rsidR="00177491" w:rsidRPr="00EB6871" w:rsidRDefault="00177491" w:rsidP="00FA1E85">
      <w:r w:rsidRPr="00EB6871">
        <w:t>Los ingresos por subvenciones y donaciones representan el 96% de los fondos disponibles (ingresos) de la Fundación para el ejercicio 202</w:t>
      </w:r>
      <w:r w:rsidR="00AD7E36">
        <w:t>2</w:t>
      </w:r>
      <w:r w:rsidRPr="00EB6871">
        <w:t>.</w:t>
      </w:r>
    </w:p>
    <w:p w14:paraId="7CADB816" w14:textId="7A30AFB7" w:rsidR="00177491" w:rsidRPr="00EB6871" w:rsidRDefault="00177491" w:rsidP="00FA1E85">
      <w:pPr>
        <w:jc w:val="left"/>
      </w:pPr>
      <w:r w:rsidRPr="00EB6871">
        <w:t>Los recursos previstos para el ejercicio 202</w:t>
      </w:r>
      <w:r w:rsidR="00AD7E36">
        <w:t>2</w:t>
      </w:r>
      <w:r w:rsidRPr="00EB6871">
        <w:t xml:space="preserve"> ascienden a </w:t>
      </w:r>
      <w:r w:rsidR="00AD7E36">
        <w:t>20.</w:t>
      </w:r>
      <w:r w:rsidR="00D8564C">
        <w:t>3</w:t>
      </w:r>
      <w:r w:rsidR="00AD7E36">
        <w:t>52</w:t>
      </w:r>
      <w:r w:rsidRPr="00EB6871">
        <w:t xml:space="preserve"> k€ que provienen mayoritariamente de subvenciones públicas y donaciones, así como los generados por la propia actividad económica de la Fundación que únicamente suponen un </w:t>
      </w:r>
      <w:r w:rsidR="00164127">
        <w:t>7</w:t>
      </w:r>
      <w:r w:rsidRPr="00EB6871">
        <w:t>% del total de ingresos.</w:t>
      </w:r>
    </w:p>
    <w:p w14:paraId="2F7C12D0" w14:textId="237D353F" w:rsidR="00177491" w:rsidRPr="00EB6871" w:rsidRDefault="00177491" w:rsidP="00FA1E85">
      <w:pPr>
        <w:jc w:val="left"/>
      </w:pPr>
      <w:r w:rsidRPr="00EB6871">
        <w:t xml:space="preserve">Los ingresos que se presentan en este presupuesto son un </w:t>
      </w:r>
      <w:r w:rsidR="0005078E" w:rsidRPr="00EB6871">
        <w:t>1</w:t>
      </w:r>
      <w:r w:rsidR="00D8564C">
        <w:t>2</w:t>
      </w:r>
      <w:r w:rsidRPr="00EB6871">
        <w:t>% superiores a los ingresos que se prevén obtener a previsión de cierre 202</w:t>
      </w:r>
      <w:r w:rsidR="00164127">
        <w:t>1</w:t>
      </w:r>
      <w:r w:rsidRPr="00EB6871">
        <w:t xml:space="preserve"> y esto es debido a que se esperan recibir </w:t>
      </w:r>
      <w:r w:rsidR="00164127">
        <w:t>2.</w:t>
      </w:r>
      <w:r w:rsidR="00D8564C">
        <w:t>1</w:t>
      </w:r>
      <w:r w:rsidR="00164127">
        <w:t>65</w:t>
      </w:r>
      <w:r w:rsidRPr="00EB6871">
        <w:t xml:space="preserve"> k€ más respecto a la previsión de cierre 202</w:t>
      </w:r>
      <w:r w:rsidR="00164127">
        <w:t>1</w:t>
      </w:r>
      <w:r w:rsidRPr="00EB6871">
        <w:t xml:space="preserve">. </w:t>
      </w:r>
    </w:p>
    <w:p w14:paraId="45EA81EA" w14:textId="6007920B" w:rsidR="00177491" w:rsidRPr="00EB6871" w:rsidRDefault="00177491" w:rsidP="00FA1E85">
      <w:pPr>
        <w:jc w:val="left"/>
      </w:pPr>
      <w:r w:rsidRPr="00EB6871">
        <w:t>Se esperan recibir ingresos vinculados a la venta del espacio publicitario relacionado con el MWC Barcelona 202</w:t>
      </w:r>
      <w:r w:rsidR="00354B61">
        <w:t>2 por valor de 300 k€</w:t>
      </w:r>
      <w:r w:rsidRPr="00EB6871">
        <w:t xml:space="preserve">, así como </w:t>
      </w:r>
      <w:r w:rsidR="00102386">
        <w:t>que nos puedan otorgar al menos un p</w:t>
      </w:r>
      <w:r w:rsidR="0065362D">
        <w:t xml:space="preserve">royecto </w:t>
      </w:r>
      <w:r w:rsidR="00102386">
        <w:t>e</w:t>
      </w:r>
      <w:r w:rsidR="0065362D">
        <w:t>uropeo</w:t>
      </w:r>
      <w:r w:rsidRPr="00EB6871">
        <w:t xml:space="preserve"> más de los actuale</w:t>
      </w:r>
      <w:r w:rsidR="00025C90" w:rsidRPr="00EB6871">
        <w:t>s y</w:t>
      </w:r>
      <w:r w:rsidR="00DB20CE">
        <w:t>,</w:t>
      </w:r>
      <w:r w:rsidR="00025C90" w:rsidRPr="00EB6871">
        <w:t xml:space="preserve"> p</w:t>
      </w:r>
      <w:r w:rsidRPr="00EB6871">
        <w:t xml:space="preserve">or último, activar todos los ingresos </w:t>
      </w:r>
      <w:r w:rsidR="004B3C58">
        <w:t>que hacen referencia</w:t>
      </w:r>
      <w:r w:rsidRPr="00EB6871">
        <w:t xml:space="preserve"> a las subvenciones vinculadas al </w:t>
      </w:r>
      <w:r w:rsidR="00DB20CE" w:rsidRPr="00EB6871">
        <w:t>O</w:t>
      </w:r>
      <w:r w:rsidR="00DB20CE">
        <w:t>bservatorio Nacional 5G</w:t>
      </w:r>
      <w:r w:rsidR="00DB20CE" w:rsidRPr="00EB6871">
        <w:t xml:space="preserve"> </w:t>
      </w:r>
      <w:r w:rsidRPr="00EB6871">
        <w:t>y Digital Future Society</w:t>
      </w:r>
      <w:r w:rsidR="004B3C58">
        <w:t>,</w:t>
      </w:r>
      <w:r w:rsidR="00E01DFE" w:rsidRPr="00EB6871">
        <w:t xml:space="preserve"> </w:t>
      </w:r>
      <w:r w:rsidRPr="00EB6871">
        <w:t>que durante el 202</w:t>
      </w:r>
      <w:r w:rsidR="00102386">
        <w:t>1</w:t>
      </w:r>
      <w:r w:rsidRPr="00EB6871">
        <w:t xml:space="preserve"> no se </w:t>
      </w:r>
      <w:r w:rsidR="00102386">
        <w:t xml:space="preserve">pudo tener un nuevo convenio renovando los importes </w:t>
      </w:r>
      <w:r w:rsidR="000E7A7D">
        <w:t xml:space="preserve">de 2019 y 2020. </w:t>
      </w:r>
      <w:r w:rsidR="00E01DFE" w:rsidRPr="00EB6871">
        <w:t>Además, se prevé para 202</w:t>
      </w:r>
      <w:r w:rsidR="001538E4">
        <w:t>2</w:t>
      </w:r>
      <w:r w:rsidR="00E01DFE" w:rsidRPr="00EB6871">
        <w:t xml:space="preserve"> ingresos privados para la Cumbre de DFS 202</w:t>
      </w:r>
      <w:r w:rsidR="0065418E">
        <w:t>2 por valor de 250 k€</w:t>
      </w:r>
      <w:r w:rsidR="00E01DFE" w:rsidRPr="00EB6871">
        <w:t xml:space="preserve">, así como también una subvención de unos </w:t>
      </w:r>
      <w:r w:rsidR="00D749B8">
        <w:t>190</w:t>
      </w:r>
      <w:r w:rsidR="00E01DFE" w:rsidRPr="00EB6871">
        <w:t xml:space="preserve"> k€ con</w:t>
      </w:r>
      <w:r w:rsidR="0015678E" w:rsidRPr="00EB6871">
        <w:t xml:space="preserve"> el Ayuntamiento</w:t>
      </w:r>
      <w:r w:rsidR="00E01DFE" w:rsidRPr="00EB6871">
        <w:t xml:space="preserve"> d</w:t>
      </w:r>
      <w:r w:rsidR="00025C90" w:rsidRPr="00EB6871">
        <w:t>e Barcelona</w:t>
      </w:r>
      <w:r w:rsidR="00D23457" w:rsidRPr="00EB6871">
        <w:t xml:space="preserve"> con la unidad de la Agenda 2030</w:t>
      </w:r>
      <w:r w:rsidR="00E01DFE" w:rsidRPr="00EB6871">
        <w:t xml:space="preserve">. </w:t>
      </w:r>
      <w:r w:rsidR="005F6669" w:rsidRPr="00EB6871">
        <w:t xml:space="preserve">Esta subvención se prevé </w:t>
      </w:r>
      <w:r w:rsidR="00802AE5" w:rsidRPr="00EB6871">
        <w:t>con</w:t>
      </w:r>
      <w:r w:rsidR="005F6669" w:rsidRPr="00EB6871">
        <w:t xml:space="preserve"> un convenio entre la Fundación y el Ayuntamiento de Barcelona </w:t>
      </w:r>
      <w:r w:rsidR="00802AE5" w:rsidRPr="00EB6871">
        <w:t xml:space="preserve">donde regulará </w:t>
      </w:r>
      <w:r w:rsidR="00F35F73" w:rsidRPr="00EB6871">
        <w:t xml:space="preserve">el alcance del proyecto, los compromisos económicos, así como los recursos humanos necesarios, que en todo caso estará todo contemplado </w:t>
      </w:r>
      <w:r w:rsidR="008913EF" w:rsidRPr="00EB6871">
        <w:t>en el acuerdo de convenio.</w:t>
      </w:r>
    </w:p>
    <w:p w14:paraId="6E9B2CBE" w14:textId="77777777" w:rsidR="003C12D0" w:rsidRDefault="00177491" w:rsidP="00FA1E85">
      <w:pPr>
        <w:jc w:val="left"/>
        <w:rPr>
          <w:rStyle w:val="eop"/>
          <w:color w:val="000000"/>
          <w:shd w:val="clear" w:color="auto" w:fill="FFFFFF"/>
        </w:rPr>
      </w:pPr>
      <w:r w:rsidRPr="00EB6871">
        <w:t xml:space="preserve">En ingresos por donaciones, se esperan obtener </w:t>
      </w:r>
      <w:r w:rsidR="000E7A7D">
        <w:t>2</w:t>
      </w:r>
      <w:r w:rsidRPr="00EB6871">
        <w:t xml:space="preserve">00k€ por captación de nuevos patronos o de nuevas aportaciones de los actuales.  Cabe destacar que la </w:t>
      </w:r>
      <w:r w:rsidRPr="00177BCC">
        <w:t xml:space="preserve">“Barcelona Mobile World Capital” tiene la mención de Acontecimiento de Excepcional Interés Público para el periodo comprendido del 1 de enero de 2018 hasta el 31 de diciembre de 2020 (en proceso de extensión actualmente). </w:t>
      </w:r>
      <w:r w:rsidR="003C12D0">
        <w:rPr>
          <w:rStyle w:val="normaltextrun"/>
          <w:color w:val="000000"/>
          <w:shd w:val="clear" w:color="auto" w:fill="FFFFFF"/>
        </w:rPr>
        <w:t xml:space="preserve">Confirmación de la renovación en la Ley de Presupuestos Generales del Estado, hasta el 31 de diciembre de 2023, de la consideración de Acontecimiento de Excepcional Interés Público “Barcelona Mobile World Capital” a efectos de permitir la aplicabilidad de las deducciones fiscales contempladas en la Ley 49/2002, de 23 de diciembre, de régimen fiscal de las entidades </w:t>
      </w:r>
      <w:r w:rsidR="003C12D0">
        <w:rPr>
          <w:rStyle w:val="normaltextrun"/>
          <w:color w:val="000000"/>
          <w:shd w:val="clear" w:color="auto" w:fill="FFFFFF"/>
        </w:rPr>
        <w:lastRenderedPageBreak/>
        <w:t>sin fines lucrativos y de los incentivos fiscales al mecenazgo, que favorecen a los potenciales donantes.</w:t>
      </w:r>
      <w:r w:rsidR="003C12D0">
        <w:rPr>
          <w:rStyle w:val="eop"/>
          <w:color w:val="000000"/>
          <w:shd w:val="clear" w:color="auto" w:fill="FFFFFF"/>
        </w:rPr>
        <w:t> </w:t>
      </w:r>
    </w:p>
    <w:p w14:paraId="63E923B2" w14:textId="542D72D5" w:rsidR="00177491" w:rsidRPr="00EB6871" w:rsidRDefault="00177491" w:rsidP="00FA1E85">
      <w:pPr>
        <w:jc w:val="left"/>
      </w:pPr>
      <w:r w:rsidRPr="00EB6871">
        <w:t>Cabe destacar, que de los 15.000 k€ que se reciben de las tres administraciones públicas (Ajuntament de Barcelona, Generalitat</w:t>
      </w:r>
      <w:r w:rsidR="00EF13D5">
        <w:t xml:space="preserve"> de Catalunya</w:t>
      </w:r>
      <w:r w:rsidRPr="00EB6871">
        <w:t xml:space="preserve"> y Ministerio</w:t>
      </w:r>
      <w:r w:rsidR="00EF13D5">
        <w:t xml:space="preserve"> de Asuntos Económicos y Transformación Digital</w:t>
      </w:r>
      <w:r w:rsidRPr="00EB6871">
        <w:t>), 9.500 k€ van dirigidos íntegramente al pago por los compromisos adquiridos en virtud del Host City Parties Agreement</w:t>
      </w:r>
      <w:r w:rsidR="00BA1F54">
        <w:t xml:space="preserve"> y</w:t>
      </w:r>
      <w:r w:rsidRPr="00EB6871">
        <w:t xml:space="preserve"> 4</w:t>
      </w:r>
      <w:r w:rsidR="0061784D">
        <w:t>8</w:t>
      </w:r>
      <w:r w:rsidRPr="00EB6871">
        <w:t xml:space="preserve">1 k€ para otras obligaciones contractuales de soporte al </w:t>
      </w:r>
      <w:r w:rsidR="00EF13D5">
        <w:t>MWC</w:t>
      </w:r>
      <w:r w:rsidRPr="00EB6871">
        <w:t xml:space="preserve">. Por tanto, </w:t>
      </w:r>
      <w:r w:rsidR="00EF13D5">
        <w:t>MWCapital</w:t>
      </w:r>
      <w:r w:rsidRPr="00EB6871">
        <w:t xml:space="preserve"> dispone de</w:t>
      </w:r>
      <w:r w:rsidR="00CB2C12">
        <w:t xml:space="preserve"> unos</w:t>
      </w:r>
      <w:r w:rsidRPr="00EB6871">
        <w:t xml:space="preserve"> 5M € para ejecutar el resto de </w:t>
      </w:r>
      <w:r w:rsidR="00815B2D" w:rsidRPr="00EB6871">
        <w:t>las actividades</w:t>
      </w:r>
      <w:r w:rsidRPr="00EB6871">
        <w:t xml:space="preserve"> de su pl</w:t>
      </w:r>
      <w:r w:rsidR="00025C90" w:rsidRPr="00EB6871">
        <w:t xml:space="preserve">an estratégico </w:t>
      </w:r>
      <w:r w:rsidR="00E22D11" w:rsidRPr="00EB6871">
        <w:t>de cara al legado económico y social de la capitalidad mundial de las tecnologías móviles.</w:t>
      </w:r>
    </w:p>
    <w:p w14:paraId="089DE054" w14:textId="6178839A" w:rsidR="002C6DAC" w:rsidRDefault="00177491" w:rsidP="00FA1E85">
      <w:pPr>
        <w:jc w:val="left"/>
      </w:pPr>
      <w:r w:rsidRPr="00EB6871">
        <w:t>A continuación, se explican cada una de las partidas de ingresos comparando previsión de cierre 202</w:t>
      </w:r>
      <w:r w:rsidR="002C6DAC">
        <w:t>1</w:t>
      </w:r>
      <w:r w:rsidRPr="00EB6871">
        <w:t xml:space="preserve"> con presupuesto 202</w:t>
      </w:r>
      <w:r w:rsidR="002C6DAC">
        <w:t>2 que principalmente se explican por los siguientes motivos:</w:t>
      </w:r>
    </w:p>
    <w:p w14:paraId="608CC04C" w14:textId="473D40D6" w:rsidR="001663FB" w:rsidRDefault="00820214" w:rsidP="00D92F73">
      <w:pPr>
        <w:pStyle w:val="Prrafodelista"/>
        <w:numPr>
          <w:ilvl w:val="0"/>
          <w:numId w:val="31"/>
        </w:numPr>
        <w:jc w:val="left"/>
      </w:pPr>
      <w:r>
        <w:t xml:space="preserve">+75 k€ </w:t>
      </w:r>
      <w:r w:rsidR="0068017D">
        <w:t>nuevo convenio de colaboración con Red.es, Ajuntament de Barcelona, Generalitat de Catalunya para la “promoción, crecimiento e internalización de empresas españolas de base tecnológica en ecosistemas de referencia” para asistir al MWC Shangai y Los Ángeles 2022.</w:t>
      </w:r>
    </w:p>
    <w:p w14:paraId="07C38DD8" w14:textId="020FA976" w:rsidR="001663FB" w:rsidRDefault="00D8616A" w:rsidP="00D92F73">
      <w:pPr>
        <w:pStyle w:val="Prrafodelista"/>
        <w:numPr>
          <w:ilvl w:val="0"/>
          <w:numId w:val="31"/>
        </w:numPr>
        <w:jc w:val="left"/>
      </w:pPr>
      <w:r>
        <w:t>+ 1.009 k€</w:t>
      </w:r>
      <w:r w:rsidR="00A21DE2">
        <w:t xml:space="preserve"> </w:t>
      </w:r>
      <w:r w:rsidR="008D367C">
        <w:t xml:space="preserve">nuevo convenio Digital Future Society </w:t>
      </w:r>
      <w:r w:rsidR="005A618F">
        <w:t xml:space="preserve">con </w:t>
      </w:r>
      <w:r w:rsidR="003D675B">
        <w:t xml:space="preserve">Red.es para </w:t>
      </w:r>
      <w:r w:rsidR="00AA4849">
        <w:t>la creación y realización conjunta del programa</w:t>
      </w:r>
      <w:r w:rsidR="00A6350E">
        <w:t>, ya que durante el 2021 solo he han podido activar 288 k€ del convenio anterior firmado durante 2019.</w:t>
      </w:r>
    </w:p>
    <w:p w14:paraId="39F64C8F" w14:textId="4658B1C0" w:rsidR="00A6350E" w:rsidRDefault="008F739E" w:rsidP="0068017D">
      <w:pPr>
        <w:pStyle w:val="Prrafodelista"/>
        <w:numPr>
          <w:ilvl w:val="0"/>
          <w:numId w:val="31"/>
        </w:numPr>
        <w:jc w:val="left"/>
      </w:pPr>
      <w:r>
        <w:t>+</w:t>
      </w:r>
      <w:r w:rsidR="00741935">
        <w:t>4</w:t>
      </w:r>
      <w:r>
        <w:t xml:space="preserve">91 k€ </w:t>
      </w:r>
      <w:r w:rsidR="005015B8">
        <w:t xml:space="preserve">nuevo convenio relacionado con el Observatorio Nacional </w:t>
      </w:r>
      <w:r w:rsidR="00C55754">
        <w:t>con Red.es para la realización de actuaciones conjuntas en el ámbito de la tecnología 5. En año 2021 se</w:t>
      </w:r>
      <w:r w:rsidR="00011CF2">
        <w:t xml:space="preserve"> realizaron actuaciones a través de una prórroga del antiguo convenio firmado durante noviembre de 2018 por dos años. Por tanto, la activación únicamente fue de 109 k€ y el año que viene se espera por valor de 600 k€.</w:t>
      </w:r>
    </w:p>
    <w:p w14:paraId="4B1C6C14" w14:textId="1C0ABD02" w:rsidR="00011CF2" w:rsidRDefault="004A6F09" w:rsidP="0068017D">
      <w:pPr>
        <w:pStyle w:val="Prrafodelista"/>
        <w:numPr>
          <w:ilvl w:val="0"/>
          <w:numId w:val="31"/>
        </w:numPr>
        <w:jc w:val="left"/>
      </w:pPr>
      <w:r>
        <w:t>+145 k€ por venta de inventario publicitario durante el MWC Barcelona 2022</w:t>
      </w:r>
      <w:r w:rsidR="00522DF2">
        <w:t>. Durante el año 2021 únicamente se obtuvieron ingresos por valor de 155 k€ y en 2022 con un evento parecido al del 2019 se esperan ingresos de 300 k€</w:t>
      </w:r>
      <w:r w:rsidR="009F04D3">
        <w:t>.</w:t>
      </w:r>
    </w:p>
    <w:p w14:paraId="6301B0EB" w14:textId="77777777" w:rsidR="001663FB" w:rsidRDefault="001663FB" w:rsidP="001663FB">
      <w:pPr>
        <w:pStyle w:val="Prrafodelista"/>
        <w:ind w:left="1068"/>
        <w:jc w:val="left"/>
      </w:pPr>
    </w:p>
    <w:p w14:paraId="6C2E6570" w14:textId="0135FE1B" w:rsidR="001663FB" w:rsidRDefault="002B3A2A" w:rsidP="002B1F2A">
      <w:pPr>
        <w:pStyle w:val="Prrafodelista"/>
        <w:numPr>
          <w:ilvl w:val="0"/>
          <w:numId w:val="31"/>
        </w:numPr>
        <w:jc w:val="left"/>
      </w:pPr>
      <w:r>
        <w:t xml:space="preserve">+247 k€ mayor activación de ingresos por proyectos europeos </w:t>
      </w:r>
      <w:r w:rsidR="006F460E">
        <w:t>y considerando que al menos se conseguirá que se otorgue uno más.</w:t>
      </w:r>
    </w:p>
    <w:p w14:paraId="595A1F78" w14:textId="16E34148" w:rsidR="001663FB" w:rsidRDefault="009B4EE6" w:rsidP="002B1F2A">
      <w:pPr>
        <w:pStyle w:val="Prrafodelista"/>
        <w:numPr>
          <w:ilvl w:val="0"/>
          <w:numId w:val="31"/>
        </w:numPr>
        <w:jc w:val="left"/>
      </w:pPr>
      <w:r>
        <w:t xml:space="preserve">+72 </w:t>
      </w:r>
      <w:r w:rsidR="00A328DF">
        <w:t xml:space="preserve">de mayor número de ingresos </w:t>
      </w:r>
      <w:r w:rsidR="00B71C65">
        <w:t xml:space="preserve">en el programa Digital Talent </w:t>
      </w:r>
      <w:r w:rsidR="00324BCA">
        <w:t>a través de empresas que quieren apoyar el programa a través de cuota de asociado.</w:t>
      </w:r>
    </w:p>
    <w:p w14:paraId="09A52EE0" w14:textId="3BD207A9" w:rsidR="00F1461F" w:rsidRPr="00EB6871" w:rsidRDefault="00F1461F" w:rsidP="0068017D">
      <w:pPr>
        <w:pStyle w:val="Prrafodelista"/>
        <w:numPr>
          <w:ilvl w:val="0"/>
          <w:numId w:val="31"/>
        </w:numPr>
        <w:jc w:val="left"/>
      </w:pPr>
      <w:r>
        <w:t>+</w:t>
      </w:r>
      <w:r w:rsidR="00577CED">
        <w:t xml:space="preserve"> 26 refacturación de servicios entre la Fundación y su sociedad limitada, Barcelona Mobile Ventures por utilización de espacios y </w:t>
      </w:r>
      <w:r w:rsidR="001663FB">
        <w:t xml:space="preserve">costes de servicios generales asociados con la oficina. </w:t>
      </w:r>
    </w:p>
    <w:p w14:paraId="12E45C10" w14:textId="77777777" w:rsidR="002C6DAC" w:rsidRDefault="002C6DAC" w:rsidP="00FA1E85">
      <w:pPr>
        <w:jc w:val="left"/>
      </w:pPr>
    </w:p>
    <w:p w14:paraId="69662E78" w14:textId="77777777" w:rsidR="00741935" w:rsidRDefault="00741935" w:rsidP="00FA1E85">
      <w:pPr>
        <w:jc w:val="left"/>
      </w:pPr>
    </w:p>
    <w:p w14:paraId="0F1E7078" w14:textId="77777777" w:rsidR="00741935" w:rsidRDefault="00741935" w:rsidP="00FA1E85">
      <w:pPr>
        <w:jc w:val="left"/>
      </w:pPr>
    </w:p>
    <w:p w14:paraId="668E2551" w14:textId="38F75606" w:rsidR="00177491" w:rsidRPr="00EB6871" w:rsidRDefault="00177491" w:rsidP="00E13D58">
      <w:pPr>
        <w:pStyle w:val="Ttulo2"/>
      </w:pPr>
      <w:bookmarkStart w:id="10" w:name="_Toc85297118"/>
      <w:r w:rsidRPr="00EB6871">
        <w:lastRenderedPageBreak/>
        <w:t>3.4 Detalle de gastos</w:t>
      </w:r>
      <w:bookmarkEnd w:id="10"/>
    </w:p>
    <w:p w14:paraId="763A9526" w14:textId="77777777" w:rsidR="00177491" w:rsidRPr="00EB6871" w:rsidRDefault="00177491" w:rsidP="00084399"/>
    <w:p w14:paraId="769A0197" w14:textId="0377DAE8" w:rsidR="00177491" w:rsidRPr="00EB6871" w:rsidRDefault="00177491" w:rsidP="00FA1E85">
      <w:pPr>
        <w:jc w:val="left"/>
      </w:pPr>
      <w:r w:rsidRPr="00EB6871">
        <w:t>Presentamos a continuación el informe detallado de los recursos a utilizar por la Fundación para la ejecución de sus actividades durante el ejercicio 202</w:t>
      </w:r>
      <w:r w:rsidR="00911437">
        <w:t>2</w:t>
      </w:r>
      <w:r w:rsidRPr="00EB6871">
        <w:t>.</w:t>
      </w:r>
    </w:p>
    <w:p w14:paraId="0D3BFC0A" w14:textId="77777777" w:rsidR="00177491" w:rsidRPr="00EB6871" w:rsidRDefault="00177491" w:rsidP="00FA1E85">
      <w:pPr>
        <w:jc w:val="left"/>
      </w:pPr>
      <w:r w:rsidRPr="00EB6871">
        <w:t>Los gastos se desglosan en cada uno de los capítulos de la cuenta de explotación:</w:t>
      </w:r>
    </w:p>
    <w:p w14:paraId="3B43EE9B" w14:textId="31609970" w:rsidR="00177491" w:rsidRPr="00EB6871" w:rsidRDefault="00177491" w:rsidP="00FA1E85">
      <w:pPr>
        <w:pStyle w:val="Prrafodelista"/>
        <w:numPr>
          <w:ilvl w:val="0"/>
          <w:numId w:val="3"/>
        </w:numPr>
        <w:jc w:val="left"/>
      </w:pPr>
      <w:r w:rsidRPr="00EB6871">
        <w:t>Gastos de personal</w:t>
      </w:r>
    </w:p>
    <w:p w14:paraId="06E21E6C" w14:textId="2B36112D" w:rsidR="00177491" w:rsidRPr="00EB6871" w:rsidRDefault="00177491" w:rsidP="00FA1E85">
      <w:pPr>
        <w:pStyle w:val="Prrafodelista"/>
        <w:numPr>
          <w:ilvl w:val="0"/>
          <w:numId w:val="3"/>
        </w:numPr>
        <w:jc w:val="left"/>
      </w:pPr>
      <w:r w:rsidRPr="00EB6871">
        <w:t>Otros gastos de explotación (servicios exteriores):</w:t>
      </w:r>
    </w:p>
    <w:p w14:paraId="771B68B6" w14:textId="2A09A12F" w:rsidR="00177491" w:rsidRPr="00EB6871" w:rsidRDefault="00177491" w:rsidP="00FA1E85">
      <w:pPr>
        <w:pStyle w:val="Prrafodelista"/>
        <w:numPr>
          <w:ilvl w:val="1"/>
          <w:numId w:val="3"/>
        </w:numPr>
        <w:jc w:val="left"/>
      </w:pPr>
      <w:r w:rsidRPr="00EB6871">
        <w:t>Alquileres y cánones</w:t>
      </w:r>
    </w:p>
    <w:p w14:paraId="47F8B92A" w14:textId="5EE248A4" w:rsidR="00177491" w:rsidRPr="00EB6871" w:rsidRDefault="00177491" w:rsidP="00FA1E85">
      <w:pPr>
        <w:pStyle w:val="Prrafodelista"/>
        <w:numPr>
          <w:ilvl w:val="1"/>
          <w:numId w:val="3"/>
        </w:numPr>
        <w:jc w:val="left"/>
      </w:pPr>
      <w:r w:rsidRPr="00EB6871">
        <w:t>Reparaciones y conservación</w:t>
      </w:r>
    </w:p>
    <w:p w14:paraId="723344D2" w14:textId="0EAB5B82" w:rsidR="00177491" w:rsidRPr="00EB6871" w:rsidRDefault="00177491" w:rsidP="00FA1E85">
      <w:pPr>
        <w:pStyle w:val="Prrafodelista"/>
        <w:numPr>
          <w:ilvl w:val="1"/>
          <w:numId w:val="3"/>
        </w:numPr>
        <w:jc w:val="left"/>
      </w:pPr>
      <w:r w:rsidRPr="00EB6871">
        <w:t>Servicios profesionales independientes</w:t>
      </w:r>
    </w:p>
    <w:p w14:paraId="51DC82EB" w14:textId="74A8E6CE" w:rsidR="00177491" w:rsidRPr="00EB6871" w:rsidRDefault="00177491" w:rsidP="00FA1E85">
      <w:pPr>
        <w:pStyle w:val="Prrafodelista"/>
        <w:numPr>
          <w:ilvl w:val="1"/>
          <w:numId w:val="3"/>
        </w:numPr>
        <w:jc w:val="left"/>
      </w:pPr>
      <w:r w:rsidRPr="00EB6871">
        <w:t>Publicidad, propaganda y relaciones públicas</w:t>
      </w:r>
    </w:p>
    <w:p w14:paraId="13975614" w14:textId="65761669" w:rsidR="00177491" w:rsidRPr="00EB6871" w:rsidRDefault="00177491" w:rsidP="00FA1E85">
      <w:pPr>
        <w:pStyle w:val="Prrafodelista"/>
        <w:numPr>
          <w:ilvl w:val="1"/>
          <w:numId w:val="3"/>
        </w:numPr>
        <w:jc w:val="left"/>
      </w:pPr>
      <w:r w:rsidRPr="00EB6871">
        <w:t>Suministros</w:t>
      </w:r>
    </w:p>
    <w:p w14:paraId="0B51726C" w14:textId="78DDEBB8" w:rsidR="00177491" w:rsidRPr="00EB6871" w:rsidRDefault="00177491" w:rsidP="00FA1E85">
      <w:pPr>
        <w:pStyle w:val="Prrafodelista"/>
        <w:numPr>
          <w:ilvl w:val="1"/>
          <w:numId w:val="3"/>
        </w:numPr>
        <w:jc w:val="left"/>
      </w:pPr>
      <w:r w:rsidRPr="00EB6871">
        <w:t>Otros Servicios</w:t>
      </w:r>
    </w:p>
    <w:p w14:paraId="50F56C4A" w14:textId="58311F53" w:rsidR="00FE1A78" w:rsidRDefault="00FE1A78">
      <w:pPr>
        <w:spacing w:line="259" w:lineRule="auto"/>
        <w:jc w:val="left"/>
      </w:pPr>
      <w:r>
        <w:br w:type="page"/>
      </w:r>
    </w:p>
    <w:p w14:paraId="548416EA" w14:textId="54E202D0" w:rsidR="00177491" w:rsidRDefault="00DD3396" w:rsidP="00DD3396">
      <w:pPr>
        <w:rPr>
          <w:rStyle w:val="nfasissutil"/>
        </w:rPr>
      </w:pPr>
      <w:r w:rsidRPr="00DD3396">
        <w:rPr>
          <w:rStyle w:val="nfasissutil"/>
        </w:rPr>
        <w:lastRenderedPageBreak/>
        <w:t>3.4.1</w:t>
      </w:r>
      <w:r w:rsidR="009B2BAC">
        <w:rPr>
          <w:rStyle w:val="nfasissutil"/>
        </w:rPr>
        <w:t xml:space="preserve"> </w:t>
      </w:r>
      <w:r w:rsidR="009B2BAC">
        <w:rPr>
          <w:rStyle w:val="nfasissutil"/>
        </w:rPr>
        <w:tab/>
      </w:r>
      <w:r w:rsidRPr="00DD3396">
        <w:rPr>
          <w:rStyle w:val="nfasissutil"/>
        </w:rPr>
        <w:t>G</w:t>
      </w:r>
      <w:r w:rsidR="00177491" w:rsidRPr="003B086D">
        <w:rPr>
          <w:rStyle w:val="nfasissutil"/>
        </w:rPr>
        <w:t>astos de Personal</w:t>
      </w:r>
    </w:p>
    <w:p w14:paraId="2CD8E7A9" w14:textId="77777777" w:rsidR="009B2BAC" w:rsidRPr="003B086D" w:rsidRDefault="009B2BAC" w:rsidP="009B2BAC">
      <w:pPr>
        <w:rPr>
          <w:rStyle w:val="nfasissutil"/>
        </w:rPr>
      </w:pPr>
    </w:p>
    <w:tbl>
      <w:tblPr>
        <w:tblpPr w:leftFromText="141" w:rightFromText="141" w:vertAnchor="text" w:horzAnchor="margin" w:tblpXSpec="center" w:tblpY="156"/>
        <w:tblW w:w="8128" w:type="dxa"/>
        <w:tblCellMar>
          <w:left w:w="70" w:type="dxa"/>
          <w:right w:w="70" w:type="dxa"/>
        </w:tblCellMar>
        <w:tblLook w:val="04A0" w:firstRow="1" w:lastRow="0" w:firstColumn="1" w:lastColumn="0" w:noHBand="0" w:noVBand="1"/>
      </w:tblPr>
      <w:tblGrid>
        <w:gridCol w:w="2325"/>
        <w:gridCol w:w="828"/>
        <w:gridCol w:w="1019"/>
        <w:gridCol w:w="123"/>
        <w:gridCol w:w="241"/>
        <w:gridCol w:w="145"/>
        <w:gridCol w:w="1553"/>
        <w:gridCol w:w="998"/>
        <w:gridCol w:w="896"/>
      </w:tblGrid>
      <w:tr w:rsidR="00511781" w:rsidRPr="00FE1A78" w14:paraId="4E5996BE" w14:textId="77777777" w:rsidTr="007E5E10">
        <w:trPr>
          <w:trHeight w:val="345"/>
        </w:trPr>
        <w:tc>
          <w:tcPr>
            <w:tcW w:w="2325" w:type="dxa"/>
            <w:tcBorders>
              <w:top w:val="nil"/>
              <w:left w:val="nil"/>
              <w:bottom w:val="nil"/>
              <w:right w:val="nil"/>
            </w:tcBorders>
            <w:shd w:val="clear" w:color="auto" w:fill="auto"/>
            <w:noWrap/>
            <w:vAlign w:val="center"/>
            <w:hideMark/>
          </w:tcPr>
          <w:p w14:paraId="1D148B7A" w14:textId="77777777" w:rsidR="00511781" w:rsidRPr="00FE1A78" w:rsidRDefault="00511781" w:rsidP="00084399">
            <w:pPr>
              <w:rPr>
                <w:sz w:val="16"/>
                <w:szCs w:val="16"/>
                <w:lang w:eastAsia="es-ES"/>
              </w:rPr>
            </w:pPr>
          </w:p>
        </w:tc>
        <w:tc>
          <w:tcPr>
            <w:tcW w:w="828" w:type="dxa"/>
            <w:tcBorders>
              <w:top w:val="nil"/>
              <w:left w:val="nil"/>
              <w:bottom w:val="nil"/>
              <w:right w:val="nil"/>
            </w:tcBorders>
            <w:shd w:val="clear" w:color="auto" w:fill="auto"/>
            <w:vAlign w:val="bottom"/>
            <w:hideMark/>
          </w:tcPr>
          <w:p w14:paraId="38377BB2" w14:textId="77777777" w:rsidR="00511781" w:rsidRPr="00FE1A78" w:rsidRDefault="00511781" w:rsidP="006A2D42">
            <w:pPr>
              <w:jc w:val="center"/>
              <w:rPr>
                <w:sz w:val="16"/>
                <w:szCs w:val="16"/>
                <w:lang w:eastAsia="es-ES"/>
              </w:rPr>
            </w:pPr>
          </w:p>
        </w:tc>
        <w:tc>
          <w:tcPr>
            <w:tcW w:w="1142" w:type="dxa"/>
            <w:gridSpan w:val="2"/>
            <w:tcBorders>
              <w:top w:val="nil"/>
              <w:left w:val="nil"/>
              <w:bottom w:val="nil"/>
              <w:right w:val="nil"/>
            </w:tcBorders>
            <w:shd w:val="clear" w:color="auto" w:fill="C00000"/>
            <w:vAlign w:val="center"/>
            <w:hideMark/>
          </w:tcPr>
          <w:p w14:paraId="4391343B" w14:textId="60639D10" w:rsidR="00511781" w:rsidRPr="00FE1A78" w:rsidRDefault="00511781" w:rsidP="006A2D42">
            <w:pPr>
              <w:jc w:val="center"/>
              <w:rPr>
                <w:rStyle w:val="nfasissutil"/>
                <w:sz w:val="16"/>
                <w:szCs w:val="16"/>
              </w:rPr>
            </w:pPr>
            <w:r w:rsidRPr="00FE1A78">
              <w:rPr>
                <w:rStyle w:val="nfasissutil"/>
                <w:sz w:val="16"/>
                <w:szCs w:val="16"/>
              </w:rPr>
              <w:t>Prev. Cierre 202</w:t>
            </w:r>
            <w:r w:rsidR="00911437">
              <w:rPr>
                <w:rStyle w:val="nfasissutil"/>
                <w:sz w:val="16"/>
                <w:szCs w:val="16"/>
              </w:rPr>
              <w:t>1</w:t>
            </w:r>
          </w:p>
        </w:tc>
        <w:tc>
          <w:tcPr>
            <w:tcW w:w="241" w:type="dxa"/>
            <w:tcBorders>
              <w:top w:val="nil"/>
              <w:left w:val="nil"/>
              <w:bottom w:val="nil"/>
              <w:right w:val="nil"/>
            </w:tcBorders>
            <w:shd w:val="clear" w:color="auto" w:fill="C00000"/>
          </w:tcPr>
          <w:p w14:paraId="32187A28" w14:textId="77777777" w:rsidR="00511781" w:rsidRPr="00FE1A78" w:rsidRDefault="00511781" w:rsidP="006A2D42">
            <w:pPr>
              <w:jc w:val="center"/>
              <w:rPr>
                <w:rStyle w:val="nfasissutil"/>
                <w:sz w:val="16"/>
                <w:szCs w:val="16"/>
              </w:rPr>
            </w:pPr>
          </w:p>
        </w:tc>
        <w:tc>
          <w:tcPr>
            <w:tcW w:w="1698" w:type="dxa"/>
            <w:gridSpan w:val="2"/>
            <w:tcBorders>
              <w:top w:val="nil"/>
              <w:left w:val="nil"/>
              <w:bottom w:val="nil"/>
              <w:right w:val="nil"/>
            </w:tcBorders>
            <w:shd w:val="clear" w:color="auto" w:fill="C00000"/>
            <w:vAlign w:val="center"/>
            <w:hideMark/>
          </w:tcPr>
          <w:p w14:paraId="348D89BC" w14:textId="1236DD2B" w:rsidR="00511781" w:rsidRPr="00FE1A78" w:rsidRDefault="00511781" w:rsidP="006A2D42">
            <w:pPr>
              <w:jc w:val="center"/>
              <w:rPr>
                <w:rStyle w:val="nfasissutil"/>
                <w:sz w:val="16"/>
                <w:szCs w:val="16"/>
              </w:rPr>
            </w:pPr>
            <w:r w:rsidRPr="00FE1A78">
              <w:rPr>
                <w:rStyle w:val="nfasissutil"/>
                <w:sz w:val="16"/>
                <w:szCs w:val="16"/>
              </w:rPr>
              <w:t>Presupuesto 202</w:t>
            </w:r>
            <w:r w:rsidR="00911437">
              <w:rPr>
                <w:rStyle w:val="nfasissutil"/>
                <w:sz w:val="16"/>
                <w:szCs w:val="16"/>
              </w:rPr>
              <w:t>2</w:t>
            </w:r>
          </w:p>
        </w:tc>
        <w:tc>
          <w:tcPr>
            <w:tcW w:w="998" w:type="dxa"/>
            <w:tcBorders>
              <w:top w:val="nil"/>
              <w:left w:val="nil"/>
              <w:bottom w:val="nil"/>
              <w:right w:val="nil"/>
            </w:tcBorders>
            <w:shd w:val="clear" w:color="auto" w:fill="C00000"/>
            <w:vAlign w:val="center"/>
            <w:hideMark/>
          </w:tcPr>
          <w:p w14:paraId="34E9C405" w14:textId="77777777" w:rsidR="00511781" w:rsidRPr="00FE1A78" w:rsidRDefault="00511781" w:rsidP="006A2D42">
            <w:pPr>
              <w:jc w:val="center"/>
              <w:rPr>
                <w:rStyle w:val="nfasissutil"/>
                <w:sz w:val="16"/>
                <w:szCs w:val="16"/>
              </w:rPr>
            </w:pPr>
            <w:r w:rsidRPr="00FE1A78">
              <w:rPr>
                <w:rStyle w:val="nfasissutil"/>
                <w:sz w:val="16"/>
                <w:szCs w:val="16"/>
              </w:rPr>
              <w:t>Diferencia</w:t>
            </w:r>
          </w:p>
        </w:tc>
        <w:tc>
          <w:tcPr>
            <w:tcW w:w="896" w:type="dxa"/>
            <w:tcBorders>
              <w:top w:val="nil"/>
              <w:left w:val="nil"/>
              <w:bottom w:val="nil"/>
              <w:right w:val="nil"/>
            </w:tcBorders>
            <w:shd w:val="clear" w:color="auto" w:fill="C00000"/>
            <w:vAlign w:val="center"/>
            <w:hideMark/>
          </w:tcPr>
          <w:p w14:paraId="0711BBAD" w14:textId="04000775" w:rsidR="00511781" w:rsidRPr="00FE1A78" w:rsidRDefault="00511781" w:rsidP="006A2D42">
            <w:pPr>
              <w:jc w:val="center"/>
              <w:rPr>
                <w:rStyle w:val="nfasissutil"/>
                <w:sz w:val="16"/>
                <w:szCs w:val="16"/>
              </w:rPr>
            </w:pPr>
            <w:r w:rsidRPr="00FE1A78">
              <w:rPr>
                <w:rStyle w:val="nfasissutil"/>
                <w:sz w:val="16"/>
                <w:szCs w:val="16"/>
              </w:rPr>
              <w:t>%</w:t>
            </w:r>
          </w:p>
        </w:tc>
      </w:tr>
      <w:tr w:rsidR="00511781" w:rsidRPr="00FE1A78" w14:paraId="66136B9A" w14:textId="77777777" w:rsidTr="00CF2EB4">
        <w:trPr>
          <w:trHeight w:val="88"/>
        </w:trPr>
        <w:tc>
          <w:tcPr>
            <w:tcW w:w="2325" w:type="dxa"/>
            <w:tcBorders>
              <w:top w:val="nil"/>
              <w:left w:val="nil"/>
              <w:bottom w:val="nil"/>
              <w:right w:val="nil"/>
            </w:tcBorders>
            <w:shd w:val="clear" w:color="000000" w:fill="BFBFBF"/>
            <w:noWrap/>
            <w:vAlign w:val="bottom"/>
            <w:hideMark/>
          </w:tcPr>
          <w:p w14:paraId="5DF8C805" w14:textId="77777777" w:rsidR="00511781" w:rsidRPr="00FE1A78" w:rsidRDefault="00511781" w:rsidP="00084399">
            <w:pPr>
              <w:rPr>
                <w:sz w:val="16"/>
                <w:szCs w:val="16"/>
                <w:lang w:eastAsia="es-ES"/>
              </w:rPr>
            </w:pPr>
            <w:r w:rsidRPr="00FE1A78">
              <w:rPr>
                <w:sz w:val="16"/>
                <w:szCs w:val="16"/>
                <w:lang w:eastAsia="es-ES"/>
              </w:rPr>
              <w:t>Gastos de personal</w:t>
            </w:r>
          </w:p>
        </w:tc>
        <w:tc>
          <w:tcPr>
            <w:tcW w:w="828" w:type="dxa"/>
            <w:tcBorders>
              <w:top w:val="nil"/>
              <w:left w:val="nil"/>
              <w:bottom w:val="nil"/>
              <w:right w:val="nil"/>
            </w:tcBorders>
            <w:shd w:val="clear" w:color="000000" w:fill="BFBFBF"/>
            <w:noWrap/>
            <w:vAlign w:val="bottom"/>
            <w:hideMark/>
          </w:tcPr>
          <w:p w14:paraId="2C1E4F38" w14:textId="77777777" w:rsidR="00511781" w:rsidRPr="00FE1A78" w:rsidRDefault="00511781" w:rsidP="00084399">
            <w:pPr>
              <w:rPr>
                <w:sz w:val="16"/>
                <w:szCs w:val="16"/>
                <w:lang w:eastAsia="es-ES"/>
              </w:rPr>
            </w:pPr>
            <w:r w:rsidRPr="00FE1A78">
              <w:rPr>
                <w:sz w:val="16"/>
                <w:szCs w:val="16"/>
                <w:lang w:eastAsia="es-ES"/>
              </w:rPr>
              <w:t> </w:t>
            </w:r>
          </w:p>
        </w:tc>
        <w:tc>
          <w:tcPr>
            <w:tcW w:w="1019" w:type="dxa"/>
            <w:tcBorders>
              <w:top w:val="nil"/>
              <w:left w:val="nil"/>
              <w:bottom w:val="nil"/>
              <w:right w:val="nil"/>
            </w:tcBorders>
            <w:shd w:val="clear" w:color="000000" w:fill="BFBFBF"/>
            <w:noWrap/>
            <w:vAlign w:val="bottom"/>
            <w:hideMark/>
          </w:tcPr>
          <w:p w14:paraId="21D1E44C" w14:textId="1468B553" w:rsidR="00511781" w:rsidRPr="00FE1A78" w:rsidRDefault="00511781" w:rsidP="007E5E10">
            <w:pPr>
              <w:jc w:val="center"/>
              <w:rPr>
                <w:sz w:val="16"/>
                <w:szCs w:val="16"/>
                <w:lang w:eastAsia="es-ES"/>
              </w:rPr>
            </w:pPr>
            <w:r w:rsidRPr="00FE1A78">
              <w:rPr>
                <w:sz w:val="16"/>
                <w:szCs w:val="16"/>
                <w:lang w:eastAsia="es-ES"/>
              </w:rPr>
              <w:t>(</w:t>
            </w:r>
            <w:r w:rsidR="006A2D42">
              <w:rPr>
                <w:sz w:val="16"/>
                <w:szCs w:val="16"/>
                <w:lang w:eastAsia="es-ES"/>
              </w:rPr>
              <w:t>3.214</w:t>
            </w:r>
            <w:r w:rsidRPr="00FE1A78">
              <w:rPr>
                <w:sz w:val="16"/>
                <w:szCs w:val="16"/>
                <w:lang w:eastAsia="es-ES"/>
              </w:rPr>
              <w:t>)</w:t>
            </w:r>
          </w:p>
        </w:tc>
        <w:tc>
          <w:tcPr>
            <w:tcW w:w="509" w:type="dxa"/>
            <w:gridSpan w:val="3"/>
            <w:tcBorders>
              <w:top w:val="nil"/>
              <w:left w:val="nil"/>
              <w:bottom w:val="nil"/>
              <w:right w:val="nil"/>
            </w:tcBorders>
            <w:shd w:val="clear" w:color="000000" w:fill="BFBFBF"/>
          </w:tcPr>
          <w:p w14:paraId="6527AD47" w14:textId="77777777" w:rsidR="00511781" w:rsidRPr="00FE1A78" w:rsidRDefault="00511781" w:rsidP="007E5E10">
            <w:pPr>
              <w:jc w:val="center"/>
              <w:rPr>
                <w:sz w:val="16"/>
                <w:szCs w:val="16"/>
                <w:lang w:eastAsia="es-ES"/>
              </w:rPr>
            </w:pPr>
          </w:p>
        </w:tc>
        <w:tc>
          <w:tcPr>
            <w:tcW w:w="1553" w:type="dxa"/>
            <w:tcBorders>
              <w:top w:val="nil"/>
              <w:left w:val="nil"/>
              <w:bottom w:val="nil"/>
              <w:right w:val="nil"/>
            </w:tcBorders>
            <w:shd w:val="clear" w:color="000000" w:fill="BFBFBF"/>
            <w:noWrap/>
            <w:vAlign w:val="bottom"/>
            <w:hideMark/>
          </w:tcPr>
          <w:p w14:paraId="0C2FFFFE" w14:textId="64CF72C2" w:rsidR="00511781" w:rsidRPr="00FE1A78" w:rsidRDefault="00511781" w:rsidP="007E5E10">
            <w:pPr>
              <w:jc w:val="center"/>
              <w:rPr>
                <w:sz w:val="16"/>
                <w:szCs w:val="16"/>
                <w:lang w:eastAsia="es-ES"/>
              </w:rPr>
            </w:pPr>
            <w:r w:rsidRPr="00FE1A78">
              <w:rPr>
                <w:sz w:val="16"/>
                <w:szCs w:val="16"/>
                <w:lang w:eastAsia="es-ES"/>
              </w:rPr>
              <w:t>(</w:t>
            </w:r>
            <w:r w:rsidR="006A2D42">
              <w:rPr>
                <w:sz w:val="16"/>
                <w:szCs w:val="16"/>
                <w:lang w:eastAsia="es-ES"/>
              </w:rPr>
              <w:t>2.841</w:t>
            </w:r>
            <w:r w:rsidRPr="00FE1A78">
              <w:rPr>
                <w:sz w:val="16"/>
                <w:szCs w:val="16"/>
                <w:lang w:eastAsia="es-ES"/>
              </w:rPr>
              <w:t>)</w:t>
            </w:r>
          </w:p>
        </w:tc>
        <w:tc>
          <w:tcPr>
            <w:tcW w:w="998" w:type="dxa"/>
            <w:tcBorders>
              <w:top w:val="nil"/>
              <w:left w:val="nil"/>
              <w:bottom w:val="nil"/>
              <w:right w:val="nil"/>
            </w:tcBorders>
            <w:shd w:val="clear" w:color="000000" w:fill="BFBFBF"/>
            <w:noWrap/>
            <w:vAlign w:val="bottom"/>
            <w:hideMark/>
          </w:tcPr>
          <w:p w14:paraId="287C7895" w14:textId="5101A150" w:rsidR="00511781" w:rsidRPr="00FE1A78" w:rsidRDefault="006A2D42" w:rsidP="007E5E10">
            <w:pPr>
              <w:jc w:val="center"/>
              <w:rPr>
                <w:sz w:val="16"/>
                <w:szCs w:val="16"/>
                <w:lang w:eastAsia="es-ES"/>
              </w:rPr>
            </w:pPr>
            <w:r>
              <w:rPr>
                <w:sz w:val="16"/>
                <w:szCs w:val="16"/>
                <w:lang w:eastAsia="es-ES"/>
              </w:rPr>
              <w:t>373.097</w:t>
            </w:r>
          </w:p>
        </w:tc>
        <w:tc>
          <w:tcPr>
            <w:tcW w:w="896" w:type="dxa"/>
            <w:tcBorders>
              <w:top w:val="nil"/>
              <w:left w:val="nil"/>
              <w:bottom w:val="nil"/>
              <w:right w:val="nil"/>
            </w:tcBorders>
            <w:shd w:val="clear" w:color="000000" w:fill="BFBFBF"/>
            <w:noWrap/>
            <w:vAlign w:val="bottom"/>
            <w:hideMark/>
          </w:tcPr>
          <w:p w14:paraId="4A2AC6A4" w14:textId="23A1D0E8" w:rsidR="00511781" w:rsidRPr="00FE1A78" w:rsidRDefault="006A2D42" w:rsidP="007E5E10">
            <w:pPr>
              <w:jc w:val="center"/>
              <w:rPr>
                <w:sz w:val="16"/>
                <w:szCs w:val="16"/>
                <w:lang w:eastAsia="es-ES"/>
              </w:rPr>
            </w:pPr>
            <w:r>
              <w:rPr>
                <w:sz w:val="16"/>
                <w:szCs w:val="16"/>
                <w:lang w:eastAsia="es-ES"/>
              </w:rPr>
              <w:t>-11,6</w:t>
            </w:r>
            <w:r w:rsidR="00511781" w:rsidRPr="00FE1A78">
              <w:rPr>
                <w:sz w:val="16"/>
                <w:szCs w:val="16"/>
                <w:lang w:eastAsia="es-ES"/>
              </w:rPr>
              <w:t>%</w:t>
            </w:r>
          </w:p>
        </w:tc>
      </w:tr>
      <w:tr w:rsidR="00511781" w:rsidRPr="00FE1A78" w14:paraId="1E787A52" w14:textId="77777777" w:rsidTr="00CF2EB4">
        <w:trPr>
          <w:trHeight w:val="49"/>
        </w:trPr>
        <w:tc>
          <w:tcPr>
            <w:tcW w:w="2325" w:type="dxa"/>
            <w:tcBorders>
              <w:top w:val="nil"/>
              <w:left w:val="nil"/>
              <w:bottom w:val="nil"/>
              <w:right w:val="nil"/>
            </w:tcBorders>
            <w:shd w:val="clear" w:color="auto" w:fill="auto"/>
            <w:noWrap/>
            <w:vAlign w:val="bottom"/>
          </w:tcPr>
          <w:p w14:paraId="51115896" w14:textId="77777777" w:rsidR="00511781" w:rsidRPr="00FE1A78" w:rsidRDefault="00511781" w:rsidP="00084399">
            <w:pPr>
              <w:rPr>
                <w:sz w:val="16"/>
                <w:szCs w:val="16"/>
                <w:lang w:eastAsia="es-ES"/>
              </w:rPr>
            </w:pPr>
          </w:p>
        </w:tc>
        <w:tc>
          <w:tcPr>
            <w:tcW w:w="828" w:type="dxa"/>
            <w:tcBorders>
              <w:top w:val="nil"/>
              <w:left w:val="nil"/>
              <w:bottom w:val="nil"/>
              <w:right w:val="nil"/>
            </w:tcBorders>
            <w:shd w:val="clear" w:color="auto" w:fill="auto"/>
            <w:noWrap/>
            <w:vAlign w:val="center"/>
          </w:tcPr>
          <w:p w14:paraId="21804F68" w14:textId="77777777" w:rsidR="00511781" w:rsidRPr="00FE1A78" w:rsidRDefault="00511781" w:rsidP="00084399">
            <w:pPr>
              <w:rPr>
                <w:sz w:val="16"/>
                <w:szCs w:val="16"/>
                <w:lang w:eastAsia="es-ES"/>
              </w:rPr>
            </w:pPr>
          </w:p>
        </w:tc>
        <w:tc>
          <w:tcPr>
            <w:tcW w:w="1019" w:type="dxa"/>
            <w:tcBorders>
              <w:top w:val="nil"/>
              <w:left w:val="nil"/>
              <w:bottom w:val="nil"/>
              <w:right w:val="nil"/>
            </w:tcBorders>
            <w:shd w:val="clear" w:color="auto" w:fill="auto"/>
            <w:noWrap/>
            <w:vAlign w:val="bottom"/>
          </w:tcPr>
          <w:p w14:paraId="527310B6" w14:textId="77777777" w:rsidR="00511781" w:rsidRPr="00FE1A78" w:rsidRDefault="00511781" w:rsidP="00084399">
            <w:pPr>
              <w:rPr>
                <w:sz w:val="16"/>
                <w:szCs w:val="16"/>
                <w:lang w:eastAsia="es-ES"/>
              </w:rPr>
            </w:pPr>
          </w:p>
        </w:tc>
        <w:tc>
          <w:tcPr>
            <w:tcW w:w="509" w:type="dxa"/>
            <w:gridSpan w:val="3"/>
            <w:tcBorders>
              <w:top w:val="nil"/>
              <w:left w:val="nil"/>
              <w:bottom w:val="nil"/>
              <w:right w:val="nil"/>
            </w:tcBorders>
          </w:tcPr>
          <w:p w14:paraId="29936560" w14:textId="77777777" w:rsidR="00511781" w:rsidRPr="00FE1A78" w:rsidRDefault="00511781" w:rsidP="00084399">
            <w:pPr>
              <w:rPr>
                <w:sz w:val="16"/>
                <w:szCs w:val="16"/>
                <w:lang w:eastAsia="es-ES"/>
              </w:rPr>
            </w:pPr>
          </w:p>
        </w:tc>
        <w:tc>
          <w:tcPr>
            <w:tcW w:w="1553" w:type="dxa"/>
            <w:tcBorders>
              <w:top w:val="nil"/>
              <w:left w:val="nil"/>
              <w:bottom w:val="nil"/>
              <w:right w:val="nil"/>
            </w:tcBorders>
            <w:shd w:val="clear" w:color="auto" w:fill="auto"/>
            <w:noWrap/>
            <w:vAlign w:val="bottom"/>
          </w:tcPr>
          <w:p w14:paraId="2354FE58" w14:textId="2705EE4A" w:rsidR="00511781" w:rsidRPr="00FE1A78" w:rsidRDefault="00511781" w:rsidP="00084399">
            <w:pPr>
              <w:rPr>
                <w:sz w:val="16"/>
                <w:szCs w:val="16"/>
                <w:lang w:eastAsia="es-ES"/>
              </w:rPr>
            </w:pPr>
          </w:p>
        </w:tc>
        <w:tc>
          <w:tcPr>
            <w:tcW w:w="998" w:type="dxa"/>
            <w:tcBorders>
              <w:top w:val="nil"/>
              <w:left w:val="nil"/>
              <w:bottom w:val="nil"/>
              <w:right w:val="nil"/>
            </w:tcBorders>
            <w:shd w:val="clear" w:color="000000" w:fill="FFFFFF"/>
            <w:noWrap/>
            <w:vAlign w:val="bottom"/>
          </w:tcPr>
          <w:p w14:paraId="0EAE42D9" w14:textId="77777777" w:rsidR="00511781" w:rsidRPr="00FE1A78" w:rsidRDefault="00511781" w:rsidP="00084399">
            <w:pPr>
              <w:rPr>
                <w:sz w:val="16"/>
                <w:szCs w:val="16"/>
                <w:lang w:eastAsia="es-ES"/>
              </w:rPr>
            </w:pPr>
          </w:p>
        </w:tc>
        <w:tc>
          <w:tcPr>
            <w:tcW w:w="896" w:type="dxa"/>
            <w:tcBorders>
              <w:top w:val="nil"/>
              <w:left w:val="nil"/>
              <w:bottom w:val="nil"/>
              <w:right w:val="nil"/>
            </w:tcBorders>
            <w:shd w:val="clear" w:color="000000" w:fill="FFFFFF"/>
            <w:noWrap/>
            <w:vAlign w:val="bottom"/>
          </w:tcPr>
          <w:p w14:paraId="4E47403E" w14:textId="77777777" w:rsidR="00511781" w:rsidRPr="00FE1A78" w:rsidRDefault="00511781" w:rsidP="00084399">
            <w:pPr>
              <w:rPr>
                <w:sz w:val="16"/>
                <w:szCs w:val="16"/>
                <w:lang w:eastAsia="es-ES"/>
              </w:rPr>
            </w:pPr>
          </w:p>
        </w:tc>
      </w:tr>
    </w:tbl>
    <w:p w14:paraId="641089CF" w14:textId="780D6F2F" w:rsidR="00177491" w:rsidRPr="00EB6871" w:rsidRDefault="00177491" w:rsidP="00FA1E85">
      <w:pPr>
        <w:jc w:val="left"/>
      </w:pPr>
      <w:r w:rsidRPr="00EB6871">
        <w:t xml:space="preserve">El gasto de personal previsto </w:t>
      </w:r>
      <w:r w:rsidR="006A2D42">
        <w:t xml:space="preserve">baja del </w:t>
      </w:r>
      <w:r w:rsidRPr="00EB6871">
        <w:t>16% del total de gastos en el presupuesto de 2021</w:t>
      </w:r>
      <w:r w:rsidR="006A2D42">
        <w:t xml:space="preserve"> al 14% en 2022.</w:t>
      </w:r>
    </w:p>
    <w:p w14:paraId="479BD80F" w14:textId="49FDA88C" w:rsidR="001F1BBB" w:rsidRPr="00EB6871" w:rsidRDefault="00177491" w:rsidP="00FA1E85">
      <w:pPr>
        <w:jc w:val="left"/>
      </w:pPr>
      <w:r w:rsidRPr="00EB6871">
        <w:t>En lo que se refiere a los gastos de personal, en 202</w:t>
      </w:r>
      <w:r w:rsidR="006A2D42">
        <w:t>2</w:t>
      </w:r>
      <w:r w:rsidRPr="00EB6871">
        <w:t xml:space="preserve"> se</w:t>
      </w:r>
      <w:r w:rsidR="006A2D42">
        <w:t xml:space="preserve"> disminuye</w:t>
      </w:r>
      <w:r w:rsidRPr="00EB6871">
        <w:t xml:space="preserve"> el gasto en </w:t>
      </w:r>
      <w:r w:rsidR="006A2D42">
        <w:t xml:space="preserve">casi un 12% </w:t>
      </w:r>
      <w:r w:rsidRPr="00EB6871">
        <w:t>% (</w:t>
      </w:r>
      <w:r w:rsidR="006A2D42">
        <w:t>373</w:t>
      </w:r>
      <w:r w:rsidRPr="00EB6871">
        <w:t xml:space="preserve"> k€) respecto a la previsión de cierre del ejercicio 202</w:t>
      </w:r>
      <w:r w:rsidR="006A2D42">
        <w:t>1.</w:t>
      </w:r>
      <w:r w:rsidRPr="00EB6871">
        <w:t xml:space="preserve"> </w:t>
      </w:r>
    </w:p>
    <w:p w14:paraId="1D0AD9B1" w14:textId="77777777" w:rsidR="0020386A" w:rsidRPr="0020386A" w:rsidRDefault="0020386A" w:rsidP="0020386A">
      <w:r w:rsidRPr="0020386A">
        <w:t>A través del plan director plurianual de estabilización de contratación temporal de la Fundación 2021-2024 hemos optimizado y externalizado una serie de posiciones de estructura laboral que explican la reducción de la masa salarial prevista para este 2022.</w:t>
      </w:r>
    </w:p>
    <w:p w14:paraId="444E2B53" w14:textId="7ACCDF19" w:rsidR="0020386A" w:rsidRDefault="0020386A" w:rsidP="0020386A">
      <w:r w:rsidRPr="0020386A">
        <w:t>Respecto a la plantilla de la Fundación, la previsión para este 2022 es contar con un equipo de 43 personas, incluyendo los perfiles específicos para los proyectos con el Ayuntamiento de Barcelona de Agenda 2030.</w:t>
      </w:r>
    </w:p>
    <w:p w14:paraId="2097B2B4" w14:textId="77777777" w:rsidR="0020386A" w:rsidRPr="0020386A" w:rsidRDefault="0020386A" w:rsidP="0020386A"/>
    <w:p w14:paraId="25AA5BC6" w14:textId="19585E18" w:rsidR="00177491" w:rsidRPr="003B086D" w:rsidRDefault="00177491" w:rsidP="003B086D">
      <w:pPr>
        <w:pStyle w:val="Prrafodelista"/>
        <w:numPr>
          <w:ilvl w:val="2"/>
          <w:numId w:val="27"/>
        </w:numPr>
        <w:rPr>
          <w:rStyle w:val="nfasissutil"/>
        </w:rPr>
      </w:pPr>
      <w:r w:rsidRPr="003B086D">
        <w:rPr>
          <w:rStyle w:val="nfasissutil"/>
        </w:rPr>
        <w:t>Otros Gastos de Explotación</w:t>
      </w:r>
    </w:p>
    <w:p w14:paraId="4CCFECC1" w14:textId="05DE6942" w:rsidR="001C6EA1" w:rsidRDefault="001C6EA1" w:rsidP="00084399"/>
    <w:tbl>
      <w:tblPr>
        <w:tblW w:w="8504" w:type="dxa"/>
        <w:tblLayout w:type="fixed"/>
        <w:tblCellMar>
          <w:left w:w="70" w:type="dxa"/>
          <w:right w:w="70" w:type="dxa"/>
        </w:tblCellMar>
        <w:tblLook w:val="04A0" w:firstRow="1" w:lastRow="0" w:firstColumn="1" w:lastColumn="0" w:noHBand="0" w:noVBand="1"/>
      </w:tblPr>
      <w:tblGrid>
        <w:gridCol w:w="3381"/>
        <w:gridCol w:w="940"/>
        <w:gridCol w:w="1208"/>
        <w:gridCol w:w="1275"/>
        <w:gridCol w:w="1134"/>
        <w:gridCol w:w="566"/>
      </w:tblGrid>
      <w:tr w:rsidR="00EC5B27" w:rsidRPr="005805E3" w14:paraId="31281023" w14:textId="77777777" w:rsidTr="005004D1">
        <w:trPr>
          <w:trHeight w:val="500"/>
        </w:trPr>
        <w:tc>
          <w:tcPr>
            <w:tcW w:w="3381" w:type="dxa"/>
            <w:tcBorders>
              <w:top w:val="nil"/>
              <w:left w:val="nil"/>
              <w:bottom w:val="nil"/>
              <w:right w:val="nil"/>
            </w:tcBorders>
            <w:shd w:val="clear" w:color="auto" w:fill="auto"/>
            <w:noWrap/>
            <w:vAlign w:val="center"/>
            <w:hideMark/>
          </w:tcPr>
          <w:p w14:paraId="729D82EA" w14:textId="77777777" w:rsidR="00EC5B27" w:rsidRPr="005805E3" w:rsidRDefault="00EC5B27" w:rsidP="005004D1">
            <w:pPr>
              <w:spacing w:after="0" w:line="240" w:lineRule="auto"/>
              <w:rPr>
                <w:rFonts w:ascii="Times New Roman" w:eastAsia="Times New Roman" w:hAnsi="Times New Roman" w:cs="Times New Roman"/>
                <w:sz w:val="14"/>
                <w:szCs w:val="14"/>
                <w:lang w:eastAsia="es-ES"/>
              </w:rPr>
            </w:pPr>
          </w:p>
        </w:tc>
        <w:tc>
          <w:tcPr>
            <w:tcW w:w="940" w:type="dxa"/>
            <w:tcBorders>
              <w:top w:val="nil"/>
              <w:left w:val="nil"/>
              <w:bottom w:val="nil"/>
              <w:right w:val="nil"/>
            </w:tcBorders>
            <w:shd w:val="clear" w:color="auto" w:fill="auto"/>
            <w:vAlign w:val="bottom"/>
            <w:hideMark/>
          </w:tcPr>
          <w:p w14:paraId="1FB43A94" w14:textId="77777777" w:rsidR="00EC5B27" w:rsidRPr="005805E3" w:rsidRDefault="00EC5B27" w:rsidP="005004D1">
            <w:pPr>
              <w:spacing w:after="0" w:line="240" w:lineRule="auto"/>
              <w:rPr>
                <w:rFonts w:ascii="Times New Roman" w:eastAsia="Times New Roman" w:hAnsi="Times New Roman" w:cs="Times New Roman"/>
                <w:sz w:val="14"/>
                <w:szCs w:val="14"/>
                <w:lang w:eastAsia="es-ES"/>
              </w:rPr>
            </w:pPr>
          </w:p>
        </w:tc>
        <w:tc>
          <w:tcPr>
            <w:tcW w:w="1208" w:type="dxa"/>
            <w:tcBorders>
              <w:top w:val="nil"/>
              <w:left w:val="nil"/>
              <w:bottom w:val="nil"/>
              <w:right w:val="nil"/>
            </w:tcBorders>
            <w:shd w:val="clear" w:color="auto" w:fill="C00000"/>
            <w:vAlign w:val="center"/>
            <w:hideMark/>
          </w:tcPr>
          <w:p w14:paraId="60380513" w14:textId="77777777" w:rsidR="00EC5B27" w:rsidRPr="005805E3" w:rsidRDefault="00EC5B27" w:rsidP="005004D1">
            <w:pPr>
              <w:spacing w:after="0" w:line="240" w:lineRule="auto"/>
              <w:jc w:val="center"/>
              <w:rPr>
                <w:rStyle w:val="nfasissutil"/>
                <w:sz w:val="14"/>
                <w:szCs w:val="14"/>
              </w:rPr>
            </w:pPr>
            <w:r w:rsidRPr="005805E3">
              <w:rPr>
                <w:rStyle w:val="nfasissutil"/>
                <w:sz w:val="14"/>
                <w:szCs w:val="14"/>
              </w:rPr>
              <w:t>Prev. Cierre 202</w:t>
            </w:r>
            <w:r>
              <w:rPr>
                <w:rStyle w:val="nfasissutil"/>
                <w:sz w:val="14"/>
                <w:szCs w:val="14"/>
              </w:rPr>
              <w:t>1</w:t>
            </w:r>
          </w:p>
        </w:tc>
        <w:tc>
          <w:tcPr>
            <w:tcW w:w="1275" w:type="dxa"/>
            <w:tcBorders>
              <w:top w:val="nil"/>
              <w:left w:val="nil"/>
              <w:bottom w:val="nil"/>
              <w:right w:val="nil"/>
            </w:tcBorders>
            <w:shd w:val="clear" w:color="auto" w:fill="C00000"/>
            <w:vAlign w:val="center"/>
            <w:hideMark/>
          </w:tcPr>
          <w:p w14:paraId="6027846A" w14:textId="77777777" w:rsidR="00EC5B27" w:rsidRPr="005805E3" w:rsidRDefault="00EC5B27" w:rsidP="005004D1">
            <w:pPr>
              <w:spacing w:after="0" w:line="240" w:lineRule="auto"/>
              <w:jc w:val="center"/>
              <w:rPr>
                <w:rStyle w:val="nfasissutil"/>
                <w:sz w:val="14"/>
                <w:szCs w:val="14"/>
              </w:rPr>
            </w:pPr>
            <w:r w:rsidRPr="005805E3">
              <w:rPr>
                <w:rStyle w:val="nfasissutil"/>
                <w:sz w:val="14"/>
                <w:szCs w:val="14"/>
              </w:rPr>
              <w:t>Presupuesto 202</w:t>
            </w:r>
            <w:r>
              <w:rPr>
                <w:rStyle w:val="nfasissutil"/>
                <w:sz w:val="14"/>
                <w:szCs w:val="14"/>
              </w:rPr>
              <w:t>2</w:t>
            </w:r>
          </w:p>
        </w:tc>
        <w:tc>
          <w:tcPr>
            <w:tcW w:w="1134" w:type="dxa"/>
            <w:tcBorders>
              <w:top w:val="nil"/>
              <w:left w:val="nil"/>
              <w:bottom w:val="nil"/>
              <w:right w:val="nil"/>
            </w:tcBorders>
            <w:shd w:val="clear" w:color="auto" w:fill="C00000"/>
            <w:vAlign w:val="center"/>
            <w:hideMark/>
          </w:tcPr>
          <w:p w14:paraId="670FC087" w14:textId="77777777" w:rsidR="00EC5B27" w:rsidRPr="005805E3" w:rsidRDefault="00EC5B27" w:rsidP="005004D1">
            <w:pPr>
              <w:spacing w:after="0" w:line="240" w:lineRule="auto"/>
              <w:jc w:val="center"/>
              <w:rPr>
                <w:rStyle w:val="nfasissutil"/>
                <w:sz w:val="14"/>
                <w:szCs w:val="14"/>
              </w:rPr>
            </w:pPr>
            <w:r w:rsidRPr="005805E3">
              <w:rPr>
                <w:rStyle w:val="nfasissutil"/>
                <w:sz w:val="14"/>
                <w:szCs w:val="14"/>
              </w:rPr>
              <w:t>Diferencia</w:t>
            </w:r>
          </w:p>
        </w:tc>
        <w:tc>
          <w:tcPr>
            <w:tcW w:w="566" w:type="dxa"/>
            <w:tcBorders>
              <w:top w:val="nil"/>
              <w:left w:val="nil"/>
              <w:bottom w:val="nil"/>
              <w:right w:val="nil"/>
            </w:tcBorders>
            <w:shd w:val="clear" w:color="auto" w:fill="C00000"/>
            <w:vAlign w:val="center"/>
            <w:hideMark/>
          </w:tcPr>
          <w:p w14:paraId="6259FC11" w14:textId="77777777" w:rsidR="00EC5B27" w:rsidRPr="005805E3" w:rsidRDefault="00EC5B27" w:rsidP="005004D1">
            <w:pPr>
              <w:spacing w:after="0" w:line="240" w:lineRule="auto"/>
              <w:jc w:val="center"/>
              <w:rPr>
                <w:rStyle w:val="nfasissutil"/>
                <w:sz w:val="14"/>
                <w:szCs w:val="14"/>
              </w:rPr>
            </w:pPr>
            <w:r w:rsidRPr="005805E3">
              <w:rPr>
                <w:rStyle w:val="nfasissutil"/>
                <w:sz w:val="14"/>
                <w:szCs w:val="14"/>
              </w:rPr>
              <w:t>%</w:t>
            </w:r>
          </w:p>
        </w:tc>
      </w:tr>
      <w:tr w:rsidR="00EC5B27" w:rsidRPr="005805E3" w14:paraId="3A83CED2" w14:textId="77777777" w:rsidTr="005004D1">
        <w:trPr>
          <w:trHeight w:val="293"/>
        </w:trPr>
        <w:tc>
          <w:tcPr>
            <w:tcW w:w="3381" w:type="dxa"/>
            <w:tcBorders>
              <w:top w:val="nil"/>
              <w:left w:val="nil"/>
              <w:bottom w:val="nil"/>
              <w:right w:val="nil"/>
            </w:tcBorders>
            <w:shd w:val="clear" w:color="000000" w:fill="BFBFBF"/>
            <w:noWrap/>
            <w:vAlign w:val="bottom"/>
            <w:hideMark/>
          </w:tcPr>
          <w:p w14:paraId="68FFE122" w14:textId="1A2B7B99" w:rsidR="00EC5B27" w:rsidRPr="005805E3" w:rsidRDefault="00EC5B27" w:rsidP="005004D1">
            <w:pPr>
              <w:spacing w:after="0" w:line="240" w:lineRule="auto"/>
              <w:rPr>
                <w:rFonts w:eastAsia="Times New Roman" w:cs="Calibri"/>
                <w:b/>
                <w:bCs/>
                <w:color w:val="000000"/>
                <w:sz w:val="14"/>
                <w:szCs w:val="14"/>
                <w:lang w:eastAsia="es-ES"/>
              </w:rPr>
            </w:pPr>
            <w:r w:rsidRPr="005805E3">
              <w:rPr>
                <w:rFonts w:eastAsia="Times New Roman" w:cs="Calibri"/>
                <w:b/>
                <w:bCs/>
                <w:color w:val="000000"/>
                <w:sz w:val="14"/>
                <w:szCs w:val="14"/>
                <w:lang w:eastAsia="es-ES"/>
              </w:rPr>
              <w:t>Otros gastos de explotación</w:t>
            </w:r>
          </w:p>
        </w:tc>
        <w:tc>
          <w:tcPr>
            <w:tcW w:w="940" w:type="dxa"/>
            <w:tcBorders>
              <w:top w:val="nil"/>
              <w:left w:val="nil"/>
              <w:bottom w:val="nil"/>
              <w:right w:val="nil"/>
            </w:tcBorders>
            <w:shd w:val="clear" w:color="000000" w:fill="BFBFBF"/>
            <w:noWrap/>
            <w:vAlign w:val="bottom"/>
            <w:hideMark/>
          </w:tcPr>
          <w:p w14:paraId="3B6CCE10" w14:textId="2B57C6F1" w:rsidR="00EC5B27" w:rsidRPr="005805E3" w:rsidRDefault="00EC5B27" w:rsidP="005004D1">
            <w:pPr>
              <w:spacing w:after="0" w:line="240" w:lineRule="auto"/>
              <w:rPr>
                <w:rFonts w:eastAsia="Times New Roman" w:cs="Calibri"/>
                <w:b/>
                <w:bCs/>
                <w:color w:val="000000"/>
                <w:sz w:val="14"/>
                <w:szCs w:val="14"/>
                <w:lang w:eastAsia="es-ES"/>
              </w:rPr>
            </w:pPr>
            <w:r w:rsidRPr="005805E3">
              <w:rPr>
                <w:rFonts w:eastAsia="Times New Roman" w:cs="Calibri"/>
                <w:b/>
                <w:bCs/>
                <w:color w:val="000000"/>
                <w:sz w:val="14"/>
                <w:szCs w:val="14"/>
                <w:lang w:eastAsia="es-ES"/>
              </w:rPr>
              <w:t> </w:t>
            </w:r>
          </w:p>
        </w:tc>
        <w:tc>
          <w:tcPr>
            <w:tcW w:w="1208" w:type="dxa"/>
            <w:tcBorders>
              <w:top w:val="nil"/>
              <w:left w:val="nil"/>
              <w:bottom w:val="nil"/>
              <w:right w:val="nil"/>
            </w:tcBorders>
            <w:shd w:val="clear" w:color="000000" w:fill="BFBFBF"/>
            <w:noWrap/>
            <w:vAlign w:val="bottom"/>
            <w:hideMark/>
          </w:tcPr>
          <w:p w14:paraId="582A0730" w14:textId="4EA26AC5" w:rsidR="00EC5B27" w:rsidRPr="005805E3" w:rsidRDefault="00EC5B27" w:rsidP="005004D1">
            <w:pPr>
              <w:spacing w:after="0" w:line="240" w:lineRule="auto"/>
              <w:jc w:val="center"/>
              <w:rPr>
                <w:rFonts w:eastAsia="Times New Roman" w:cs="Calibri"/>
                <w:b/>
                <w:bCs/>
                <w:color w:val="000000"/>
                <w:sz w:val="14"/>
                <w:szCs w:val="14"/>
                <w:lang w:eastAsia="es-ES"/>
              </w:rPr>
            </w:pPr>
            <w:r w:rsidRPr="005805E3">
              <w:rPr>
                <w:rFonts w:eastAsia="Times New Roman" w:cs="Calibri"/>
                <w:b/>
                <w:bCs/>
                <w:color w:val="000000"/>
                <w:sz w:val="14"/>
                <w:szCs w:val="14"/>
                <w:lang w:eastAsia="es-ES"/>
              </w:rPr>
              <w:t>(14.</w:t>
            </w:r>
            <w:r>
              <w:rPr>
                <w:rFonts w:eastAsia="Times New Roman" w:cs="Calibri"/>
                <w:b/>
                <w:bCs/>
                <w:color w:val="000000"/>
                <w:sz w:val="14"/>
                <w:szCs w:val="14"/>
                <w:lang w:eastAsia="es-ES"/>
              </w:rPr>
              <w:t>878.699</w:t>
            </w:r>
            <w:r w:rsidRPr="005805E3">
              <w:rPr>
                <w:rFonts w:eastAsia="Times New Roman" w:cs="Calibri"/>
                <w:b/>
                <w:bCs/>
                <w:color w:val="000000"/>
                <w:sz w:val="14"/>
                <w:szCs w:val="14"/>
                <w:lang w:eastAsia="es-ES"/>
              </w:rPr>
              <w:t>)</w:t>
            </w:r>
          </w:p>
        </w:tc>
        <w:tc>
          <w:tcPr>
            <w:tcW w:w="1275" w:type="dxa"/>
            <w:tcBorders>
              <w:top w:val="nil"/>
              <w:left w:val="nil"/>
              <w:bottom w:val="nil"/>
              <w:right w:val="nil"/>
            </w:tcBorders>
            <w:shd w:val="clear" w:color="000000" w:fill="BFBFBF"/>
            <w:noWrap/>
            <w:vAlign w:val="bottom"/>
            <w:hideMark/>
          </w:tcPr>
          <w:p w14:paraId="5F62B24C" w14:textId="171956F0" w:rsidR="00EC5B27" w:rsidRPr="005805E3" w:rsidRDefault="00EC5B27" w:rsidP="005004D1">
            <w:pPr>
              <w:spacing w:after="0" w:line="240" w:lineRule="auto"/>
              <w:jc w:val="center"/>
              <w:rPr>
                <w:rFonts w:eastAsia="Times New Roman" w:cs="Calibri"/>
                <w:b/>
                <w:bCs/>
                <w:color w:val="000000"/>
                <w:sz w:val="14"/>
                <w:szCs w:val="14"/>
                <w:lang w:eastAsia="es-ES"/>
              </w:rPr>
            </w:pPr>
            <w:r w:rsidRPr="005805E3">
              <w:rPr>
                <w:rFonts w:eastAsia="Times New Roman" w:cs="Calibri"/>
                <w:b/>
                <w:bCs/>
                <w:color w:val="000000"/>
                <w:sz w:val="14"/>
                <w:szCs w:val="14"/>
                <w:lang w:eastAsia="es-ES"/>
              </w:rPr>
              <w:t>(1</w:t>
            </w:r>
            <w:r>
              <w:rPr>
                <w:rFonts w:eastAsia="Times New Roman" w:cs="Calibri"/>
                <w:b/>
                <w:bCs/>
                <w:color w:val="000000"/>
                <w:sz w:val="14"/>
                <w:szCs w:val="14"/>
                <w:lang w:eastAsia="es-ES"/>
              </w:rPr>
              <w:t>7.</w:t>
            </w:r>
            <w:r w:rsidR="00741935">
              <w:rPr>
                <w:rFonts w:eastAsia="Times New Roman" w:cs="Calibri"/>
                <w:b/>
                <w:bCs/>
                <w:color w:val="000000"/>
                <w:sz w:val="14"/>
                <w:szCs w:val="14"/>
                <w:lang w:eastAsia="es-ES"/>
              </w:rPr>
              <w:t>4</w:t>
            </w:r>
            <w:r>
              <w:rPr>
                <w:rFonts w:eastAsia="Times New Roman" w:cs="Calibri"/>
                <w:b/>
                <w:bCs/>
                <w:color w:val="000000"/>
                <w:sz w:val="14"/>
                <w:szCs w:val="14"/>
                <w:lang w:eastAsia="es-ES"/>
              </w:rPr>
              <w:t>16.747</w:t>
            </w:r>
            <w:r w:rsidRPr="005805E3">
              <w:rPr>
                <w:rFonts w:eastAsia="Times New Roman" w:cs="Calibri"/>
                <w:b/>
                <w:bCs/>
                <w:color w:val="000000"/>
                <w:sz w:val="14"/>
                <w:szCs w:val="14"/>
                <w:lang w:eastAsia="es-ES"/>
              </w:rPr>
              <w:t>)</w:t>
            </w:r>
          </w:p>
        </w:tc>
        <w:tc>
          <w:tcPr>
            <w:tcW w:w="1134" w:type="dxa"/>
            <w:tcBorders>
              <w:top w:val="nil"/>
              <w:left w:val="nil"/>
              <w:bottom w:val="nil"/>
              <w:right w:val="nil"/>
            </w:tcBorders>
            <w:shd w:val="clear" w:color="000000" w:fill="BFBFBF"/>
            <w:noWrap/>
            <w:vAlign w:val="bottom"/>
            <w:hideMark/>
          </w:tcPr>
          <w:p w14:paraId="685F0318" w14:textId="39CE0CC3" w:rsidR="00EC5B27" w:rsidRPr="005805E3" w:rsidRDefault="00EC5B27" w:rsidP="005004D1">
            <w:pPr>
              <w:spacing w:after="0" w:line="240" w:lineRule="auto"/>
              <w:jc w:val="center"/>
              <w:rPr>
                <w:rFonts w:eastAsia="Times New Roman" w:cs="Calibri"/>
                <w:b/>
                <w:bCs/>
                <w:color w:val="000000"/>
                <w:sz w:val="14"/>
                <w:szCs w:val="14"/>
                <w:lang w:eastAsia="es-ES"/>
              </w:rPr>
            </w:pPr>
            <w:r>
              <w:rPr>
                <w:rFonts w:eastAsia="Times New Roman" w:cs="Calibri"/>
                <w:b/>
                <w:bCs/>
                <w:color w:val="000000"/>
                <w:sz w:val="14"/>
                <w:szCs w:val="14"/>
                <w:lang w:eastAsia="es-ES"/>
              </w:rPr>
              <w:t>2.</w:t>
            </w:r>
            <w:r w:rsidR="00741935">
              <w:rPr>
                <w:rFonts w:eastAsia="Times New Roman" w:cs="Calibri"/>
                <w:b/>
                <w:bCs/>
                <w:color w:val="000000"/>
                <w:sz w:val="14"/>
                <w:szCs w:val="14"/>
                <w:lang w:eastAsia="es-ES"/>
              </w:rPr>
              <w:t>5</w:t>
            </w:r>
            <w:r>
              <w:rPr>
                <w:rFonts w:eastAsia="Times New Roman" w:cs="Calibri"/>
                <w:b/>
                <w:bCs/>
                <w:color w:val="000000"/>
                <w:sz w:val="14"/>
                <w:szCs w:val="14"/>
                <w:lang w:eastAsia="es-ES"/>
              </w:rPr>
              <w:t>38.048</w:t>
            </w:r>
          </w:p>
        </w:tc>
        <w:tc>
          <w:tcPr>
            <w:tcW w:w="566" w:type="dxa"/>
            <w:tcBorders>
              <w:top w:val="nil"/>
              <w:left w:val="nil"/>
              <w:bottom w:val="nil"/>
              <w:right w:val="nil"/>
            </w:tcBorders>
            <w:shd w:val="clear" w:color="000000" w:fill="BFBFBF"/>
            <w:noWrap/>
            <w:vAlign w:val="bottom"/>
            <w:hideMark/>
          </w:tcPr>
          <w:p w14:paraId="2006A8BB" w14:textId="2CFE438D" w:rsidR="00EC5B27" w:rsidRPr="005805E3" w:rsidRDefault="00EC5B27" w:rsidP="005004D1">
            <w:pPr>
              <w:spacing w:after="0" w:line="240" w:lineRule="auto"/>
              <w:jc w:val="center"/>
              <w:rPr>
                <w:rFonts w:eastAsia="Times New Roman" w:cs="Calibri"/>
                <w:b/>
                <w:bCs/>
                <w:color w:val="000000"/>
                <w:sz w:val="14"/>
                <w:szCs w:val="14"/>
                <w:lang w:eastAsia="es-ES"/>
              </w:rPr>
            </w:pPr>
            <w:r w:rsidRPr="005805E3">
              <w:rPr>
                <w:rFonts w:eastAsia="Times New Roman" w:cs="Calibri"/>
                <w:b/>
                <w:bCs/>
                <w:color w:val="000000"/>
                <w:sz w:val="14"/>
                <w:szCs w:val="14"/>
                <w:lang w:eastAsia="es-ES"/>
              </w:rPr>
              <w:t>1</w:t>
            </w:r>
            <w:r w:rsidR="00741935">
              <w:rPr>
                <w:rFonts w:eastAsia="Times New Roman" w:cs="Calibri"/>
                <w:b/>
                <w:bCs/>
                <w:color w:val="000000"/>
                <w:sz w:val="14"/>
                <w:szCs w:val="14"/>
                <w:lang w:eastAsia="es-ES"/>
              </w:rPr>
              <w:t>7</w:t>
            </w:r>
            <w:r w:rsidRPr="005805E3">
              <w:rPr>
                <w:rFonts w:eastAsia="Times New Roman" w:cs="Calibri"/>
                <w:b/>
                <w:bCs/>
                <w:color w:val="000000"/>
                <w:sz w:val="14"/>
                <w:szCs w:val="14"/>
                <w:lang w:eastAsia="es-ES"/>
              </w:rPr>
              <w:t>%</w:t>
            </w:r>
          </w:p>
        </w:tc>
      </w:tr>
      <w:tr w:rsidR="00EC5B27" w:rsidRPr="005805E3" w14:paraId="0F5557B1" w14:textId="77777777" w:rsidTr="005004D1">
        <w:trPr>
          <w:trHeight w:val="293"/>
        </w:trPr>
        <w:tc>
          <w:tcPr>
            <w:tcW w:w="3381" w:type="dxa"/>
            <w:tcBorders>
              <w:top w:val="nil"/>
              <w:left w:val="nil"/>
              <w:bottom w:val="nil"/>
              <w:right w:val="nil"/>
            </w:tcBorders>
            <w:shd w:val="clear" w:color="auto" w:fill="auto"/>
            <w:noWrap/>
            <w:vAlign w:val="bottom"/>
            <w:hideMark/>
          </w:tcPr>
          <w:p w14:paraId="6DA233AA" w14:textId="6107073D" w:rsidR="00EC5B27" w:rsidRPr="005805E3" w:rsidRDefault="00EC5B27" w:rsidP="005004D1">
            <w:pPr>
              <w:spacing w:after="0" w:line="240" w:lineRule="auto"/>
              <w:rPr>
                <w:rFonts w:eastAsia="Times New Roman" w:cs="Calibri"/>
                <w:color w:val="000000"/>
                <w:sz w:val="14"/>
                <w:szCs w:val="14"/>
                <w:lang w:eastAsia="es-ES"/>
              </w:rPr>
            </w:pPr>
            <w:r w:rsidRPr="005805E3">
              <w:rPr>
                <w:rFonts w:eastAsia="Times New Roman" w:cs="Calibri"/>
                <w:b/>
                <w:bCs/>
                <w:color w:val="000000"/>
                <w:sz w:val="14"/>
                <w:szCs w:val="14"/>
                <w:lang w:eastAsia="es-ES"/>
              </w:rPr>
              <w:t xml:space="preserve">    Servicios exteriores</w:t>
            </w:r>
          </w:p>
        </w:tc>
        <w:tc>
          <w:tcPr>
            <w:tcW w:w="940" w:type="dxa"/>
            <w:tcBorders>
              <w:top w:val="nil"/>
              <w:left w:val="nil"/>
              <w:bottom w:val="nil"/>
              <w:right w:val="nil"/>
            </w:tcBorders>
            <w:shd w:val="clear" w:color="auto" w:fill="auto"/>
            <w:noWrap/>
            <w:vAlign w:val="center"/>
            <w:hideMark/>
          </w:tcPr>
          <w:p w14:paraId="02A4F7BF" w14:textId="65ADA94B" w:rsidR="00EC5B27" w:rsidRPr="005805E3" w:rsidRDefault="00EC5B27" w:rsidP="005004D1">
            <w:pPr>
              <w:spacing w:after="0" w:line="240" w:lineRule="auto"/>
              <w:jc w:val="center"/>
              <w:rPr>
                <w:rFonts w:eastAsia="Times New Roman" w:cs="Calibri"/>
                <w:b/>
                <w:bCs/>
                <w:sz w:val="14"/>
                <w:szCs w:val="14"/>
                <w:lang w:eastAsia="es-ES"/>
              </w:rPr>
            </w:pPr>
          </w:p>
        </w:tc>
        <w:tc>
          <w:tcPr>
            <w:tcW w:w="1208" w:type="dxa"/>
            <w:tcBorders>
              <w:top w:val="nil"/>
              <w:left w:val="nil"/>
              <w:bottom w:val="nil"/>
              <w:right w:val="nil"/>
            </w:tcBorders>
            <w:shd w:val="clear" w:color="auto" w:fill="auto"/>
            <w:noWrap/>
            <w:vAlign w:val="bottom"/>
            <w:hideMark/>
          </w:tcPr>
          <w:p w14:paraId="0DC11EF3" w14:textId="28C664C0" w:rsidR="00EC5B27" w:rsidRPr="005805E3" w:rsidRDefault="00EC5B27" w:rsidP="005004D1">
            <w:pPr>
              <w:spacing w:after="0" w:line="240" w:lineRule="auto"/>
              <w:jc w:val="center"/>
              <w:rPr>
                <w:rFonts w:eastAsia="Times New Roman" w:cs="Calibri"/>
                <w:sz w:val="14"/>
                <w:szCs w:val="14"/>
                <w:lang w:eastAsia="es-ES"/>
              </w:rPr>
            </w:pPr>
            <w:r w:rsidRPr="005805E3">
              <w:rPr>
                <w:rFonts w:eastAsia="Times New Roman" w:cs="Calibri"/>
                <w:b/>
                <w:bCs/>
                <w:sz w:val="14"/>
                <w:szCs w:val="14"/>
                <w:lang w:eastAsia="es-ES"/>
              </w:rPr>
              <w:t>(</w:t>
            </w:r>
            <w:r>
              <w:rPr>
                <w:rFonts w:eastAsia="Times New Roman" w:cs="Calibri"/>
                <w:b/>
                <w:bCs/>
                <w:sz w:val="14"/>
                <w:szCs w:val="14"/>
                <w:lang w:eastAsia="es-ES"/>
              </w:rPr>
              <w:t>14.875.904</w:t>
            </w:r>
            <w:r w:rsidRPr="005805E3">
              <w:rPr>
                <w:rFonts w:eastAsia="Times New Roman" w:cs="Calibri"/>
                <w:b/>
                <w:bCs/>
                <w:sz w:val="14"/>
                <w:szCs w:val="14"/>
                <w:lang w:eastAsia="es-ES"/>
              </w:rPr>
              <w:t>)</w:t>
            </w:r>
          </w:p>
        </w:tc>
        <w:tc>
          <w:tcPr>
            <w:tcW w:w="1275" w:type="dxa"/>
            <w:tcBorders>
              <w:top w:val="nil"/>
              <w:left w:val="nil"/>
              <w:bottom w:val="nil"/>
              <w:right w:val="nil"/>
            </w:tcBorders>
            <w:shd w:val="clear" w:color="auto" w:fill="auto"/>
            <w:noWrap/>
            <w:vAlign w:val="bottom"/>
            <w:hideMark/>
          </w:tcPr>
          <w:p w14:paraId="44CD0B79" w14:textId="2166B15C" w:rsidR="00EC5B27" w:rsidRPr="005805E3" w:rsidRDefault="00EC5B27" w:rsidP="005004D1">
            <w:pPr>
              <w:spacing w:after="0" w:line="240" w:lineRule="auto"/>
              <w:jc w:val="center"/>
              <w:rPr>
                <w:rFonts w:eastAsia="Times New Roman" w:cs="Calibri"/>
                <w:sz w:val="14"/>
                <w:szCs w:val="14"/>
                <w:lang w:eastAsia="es-ES"/>
              </w:rPr>
            </w:pPr>
            <w:r w:rsidRPr="005805E3">
              <w:rPr>
                <w:rFonts w:eastAsia="Times New Roman" w:cs="Calibri"/>
                <w:b/>
                <w:bCs/>
                <w:sz w:val="14"/>
                <w:szCs w:val="14"/>
                <w:lang w:eastAsia="es-ES"/>
              </w:rPr>
              <w:t>(</w:t>
            </w:r>
            <w:r>
              <w:rPr>
                <w:rFonts w:eastAsia="Times New Roman" w:cs="Calibri"/>
                <w:b/>
                <w:bCs/>
                <w:sz w:val="14"/>
                <w:szCs w:val="14"/>
                <w:lang w:eastAsia="es-ES"/>
              </w:rPr>
              <w:t>17.</w:t>
            </w:r>
            <w:r w:rsidR="00741935">
              <w:rPr>
                <w:rFonts w:eastAsia="Times New Roman" w:cs="Calibri"/>
                <w:b/>
                <w:bCs/>
                <w:sz w:val="14"/>
                <w:szCs w:val="14"/>
                <w:lang w:eastAsia="es-ES"/>
              </w:rPr>
              <w:t>4</w:t>
            </w:r>
            <w:r>
              <w:rPr>
                <w:rFonts w:eastAsia="Times New Roman" w:cs="Calibri"/>
                <w:b/>
                <w:bCs/>
                <w:sz w:val="14"/>
                <w:szCs w:val="14"/>
                <w:lang w:eastAsia="es-ES"/>
              </w:rPr>
              <w:t>15.070</w:t>
            </w:r>
            <w:r w:rsidRPr="005805E3">
              <w:rPr>
                <w:rFonts w:eastAsia="Times New Roman" w:cs="Calibri"/>
                <w:b/>
                <w:bCs/>
                <w:sz w:val="14"/>
                <w:szCs w:val="14"/>
                <w:lang w:eastAsia="es-ES"/>
              </w:rPr>
              <w:t>)</w:t>
            </w:r>
          </w:p>
        </w:tc>
        <w:tc>
          <w:tcPr>
            <w:tcW w:w="1134" w:type="dxa"/>
            <w:tcBorders>
              <w:top w:val="nil"/>
              <w:left w:val="nil"/>
              <w:bottom w:val="nil"/>
              <w:right w:val="nil"/>
            </w:tcBorders>
            <w:shd w:val="clear" w:color="000000" w:fill="FFFFFF"/>
            <w:noWrap/>
            <w:vAlign w:val="bottom"/>
            <w:hideMark/>
          </w:tcPr>
          <w:p w14:paraId="093DFE79" w14:textId="00C591B5" w:rsidR="00EC5B27" w:rsidRPr="005805E3" w:rsidRDefault="00EC5B27" w:rsidP="005004D1">
            <w:pPr>
              <w:spacing w:after="0" w:line="240" w:lineRule="auto"/>
              <w:jc w:val="center"/>
              <w:rPr>
                <w:rFonts w:eastAsia="Times New Roman" w:cs="Calibri"/>
                <w:color w:val="000000"/>
                <w:sz w:val="14"/>
                <w:szCs w:val="14"/>
                <w:lang w:eastAsia="es-ES"/>
              </w:rPr>
            </w:pPr>
            <w:r>
              <w:rPr>
                <w:rFonts w:eastAsia="Times New Roman" w:cs="Calibri"/>
                <w:b/>
                <w:bCs/>
                <w:color w:val="000000"/>
                <w:sz w:val="14"/>
                <w:szCs w:val="14"/>
                <w:lang w:eastAsia="es-ES"/>
              </w:rPr>
              <w:t>2.</w:t>
            </w:r>
            <w:r w:rsidR="00741935">
              <w:rPr>
                <w:rFonts w:eastAsia="Times New Roman" w:cs="Calibri"/>
                <w:b/>
                <w:bCs/>
                <w:color w:val="000000"/>
                <w:sz w:val="14"/>
                <w:szCs w:val="14"/>
                <w:lang w:eastAsia="es-ES"/>
              </w:rPr>
              <w:t>5</w:t>
            </w:r>
            <w:r>
              <w:rPr>
                <w:rFonts w:eastAsia="Times New Roman" w:cs="Calibri"/>
                <w:b/>
                <w:bCs/>
                <w:color w:val="000000"/>
                <w:sz w:val="14"/>
                <w:szCs w:val="14"/>
                <w:lang w:eastAsia="es-ES"/>
              </w:rPr>
              <w:t>39.166</w:t>
            </w:r>
          </w:p>
        </w:tc>
        <w:tc>
          <w:tcPr>
            <w:tcW w:w="566" w:type="dxa"/>
            <w:tcBorders>
              <w:top w:val="nil"/>
              <w:left w:val="nil"/>
              <w:bottom w:val="nil"/>
              <w:right w:val="nil"/>
            </w:tcBorders>
            <w:shd w:val="clear" w:color="000000" w:fill="FFFFFF"/>
            <w:noWrap/>
            <w:vAlign w:val="bottom"/>
            <w:hideMark/>
          </w:tcPr>
          <w:p w14:paraId="2A580F72" w14:textId="0514576B" w:rsidR="00EC5B27" w:rsidRPr="005805E3" w:rsidRDefault="00EC5B27" w:rsidP="005004D1">
            <w:pPr>
              <w:spacing w:after="0" w:line="240" w:lineRule="auto"/>
              <w:jc w:val="center"/>
              <w:rPr>
                <w:rFonts w:eastAsia="Times New Roman" w:cs="Calibri"/>
                <w:color w:val="000000"/>
                <w:sz w:val="14"/>
                <w:szCs w:val="14"/>
                <w:lang w:eastAsia="es-ES"/>
              </w:rPr>
            </w:pPr>
            <w:r w:rsidRPr="005805E3">
              <w:rPr>
                <w:rFonts w:eastAsia="Times New Roman" w:cs="Calibri"/>
                <w:b/>
                <w:bCs/>
                <w:color w:val="000000"/>
                <w:sz w:val="14"/>
                <w:szCs w:val="14"/>
                <w:lang w:eastAsia="es-ES"/>
              </w:rPr>
              <w:t>1</w:t>
            </w:r>
            <w:r w:rsidR="00741935">
              <w:rPr>
                <w:rFonts w:eastAsia="Times New Roman" w:cs="Calibri"/>
                <w:b/>
                <w:bCs/>
                <w:color w:val="000000"/>
                <w:sz w:val="14"/>
                <w:szCs w:val="14"/>
                <w:lang w:eastAsia="es-ES"/>
              </w:rPr>
              <w:t>7</w:t>
            </w:r>
            <w:r w:rsidRPr="005805E3">
              <w:rPr>
                <w:rFonts w:eastAsia="Times New Roman" w:cs="Calibri"/>
                <w:b/>
                <w:bCs/>
                <w:color w:val="000000"/>
                <w:sz w:val="14"/>
                <w:szCs w:val="14"/>
                <w:lang w:eastAsia="es-ES"/>
              </w:rPr>
              <w:t>%</w:t>
            </w:r>
          </w:p>
        </w:tc>
      </w:tr>
      <w:tr w:rsidR="00EC5B27" w:rsidRPr="005805E3" w14:paraId="27210D95" w14:textId="77777777" w:rsidTr="005004D1">
        <w:trPr>
          <w:trHeight w:val="293"/>
        </w:trPr>
        <w:tc>
          <w:tcPr>
            <w:tcW w:w="3381" w:type="dxa"/>
            <w:tcBorders>
              <w:top w:val="nil"/>
              <w:left w:val="nil"/>
              <w:bottom w:val="nil"/>
              <w:right w:val="nil"/>
            </w:tcBorders>
            <w:shd w:val="clear" w:color="auto" w:fill="auto"/>
            <w:noWrap/>
            <w:vAlign w:val="bottom"/>
            <w:hideMark/>
          </w:tcPr>
          <w:p w14:paraId="5811DB85" w14:textId="0F94BF87" w:rsidR="00EC5B27" w:rsidRPr="005805E3" w:rsidRDefault="00EC5B27" w:rsidP="005004D1">
            <w:pPr>
              <w:spacing w:after="0" w:line="240" w:lineRule="auto"/>
              <w:rPr>
                <w:rFonts w:eastAsia="Times New Roman" w:cs="Calibri"/>
                <w:color w:val="000000"/>
                <w:sz w:val="14"/>
                <w:szCs w:val="14"/>
                <w:lang w:eastAsia="es-ES"/>
              </w:rPr>
            </w:pPr>
            <w:r w:rsidRPr="005805E3">
              <w:rPr>
                <w:rFonts w:eastAsia="Times New Roman" w:cs="Calibri"/>
                <w:color w:val="000000"/>
                <w:sz w:val="14"/>
                <w:szCs w:val="14"/>
                <w:lang w:eastAsia="es-ES"/>
              </w:rPr>
              <w:t>Alquileres y cánones</w:t>
            </w:r>
          </w:p>
        </w:tc>
        <w:tc>
          <w:tcPr>
            <w:tcW w:w="940" w:type="dxa"/>
            <w:tcBorders>
              <w:top w:val="nil"/>
              <w:left w:val="nil"/>
              <w:bottom w:val="nil"/>
              <w:right w:val="nil"/>
            </w:tcBorders>
            <w:shd w:val="clear" w:color="auto" w:fill="auto"/>
            <w:noWrap/>
            <w:vAlign w:val="center"/>
            <w:hideMark/>
          </w:tcPr>
          <w:p w14:paraId="401F5C53" w14:textId="683241BC" w:rsidR="00EC5B27" w:rsidRPr="005805E3" w:rsidRDefault="00EC5B27" w:rsidP="00EC5B27">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621</w:t>
            </w:r>
          </w:p>
        </w:tc>
        <w:tc>
          <w:tcPr>
            <w:tcW w:w="1208" w:type="dxa"/>
            <w:tcBorders>
              <w:top w:val="nil"/>
              <w:left w:val="nil"/>
              <w:bottom w:val="nil"/>
              <w:right w:val="nil"/>
            </w:tcBorders>
            <w:shd w:val="clear" w:color="auto" w:fill="auto"/>
            <w:noWrap/>
            <w:vAlign w:val="bottom"/>
            <w:hideMark/>
          </w:tcPr>
          <w:p w14:paraId="0E25C248" w14:textId="7C00FCD6" w:rsidR="00EC5B27" w:rsidRPr="005805E3" w:rsidRDefault="00EC5B27" w:rsidP="005004D1">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Pr>
                <w:rFonts w:eastAsia="Times New Roman" w:cs="Calibri"/>
                <w:sz w:val="14"/>
                <w:szCs w:val="14"/>
                <w:lang w:eastAsia="es-ES"/>
              </w:rPr>
              <w:t>232.077</w:t>
            </w:r>
            <w:r w:rsidRPr="005805E3">
              <w:rPr>
                <w:rFonts w:eastAsia="Times New Roman" w:cs="Calibri"/>
                <w:sz w:val="14"/>
                <w:szCs w:val="14"/>
                <w:lang w:eastAsia="es-ES"/>
              </w:rPr>
              <w:t>)</w:t>
            </w:r>
          </w:p>
        </w:tc>
        <w:tc>
          <w:tcPr>
            <w:tcW w:w="1275" w:type="dxa"/>
            <w:tcBorders>
              <w:top w:val="nil"/>
              <w:left w:val="nil"/>
              <w:bottom w:val="nil"/>
              <w:right w:val="nil"/>
            </w:tcBorders>
            <w:shd w:val="clear" w:color="auto" w:fill="auto"/>
            <w:noWrap/>
            <w:vAlign w:val="bottom"/>
            <w:hideMark/>
          </w:tcPr>
          <w:p w14:paraId="599B0DBC" w14:textId="43E2B5F1" w:rsidR="00EC5B27" w:rsidRPr="005805E3" w:rsidRDefault="00EC5B27" w:rsidP="005004D1">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Pr>
                <w:rFonts w:eastAsia="Times New Roman" w:cs="Calibri"/>
                <w:sz w:val="14"/>
                <w:szCs w:val="14"/>
                <w:lang w:eastAsia="es-ES"/>
              </w:rPr>
              <w:t>287.816)</w:t>
            </w:r>
          </w:p>
        </w:tc>
        <w:tc>
          <w:tcPr>
            <w:tcW w:w="1134" w:type="dxa"/>
            <w:tcBorders>
              <w:top w:val="nil"/>
              <w:left w:val="nil"/>
              <w:bottom w:val="nil"/>
              <w:right w:val="nil"/>
            </w:tcBorders>
            <w:shd w:val="clear" w:color="000000" w:fill="FFFFFF"/>
            <w:noWrap/>
            <w:vAlign w:val="bottom"/>
            <w:hideMark/>
          </w:tcPr>
          <w:p w14:paraId="2C6ACD60" w14:textId="755966B7" w:rsidR="00EC5B27" w:rsidRPr="005805E3" w:rsidRDefault="00EC5B27" w:rsidP="005004D1">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55.739</w:t>
            </w:r>
          </w:p>
        </w:tc>
        <w:tc>
          <w:tcPr>
            <w:tcW w:w="566" w:type="dxa"/>
            <w:tcBorders>
              <w:top w:val="nil"/>
              <w:left w:val="nil"/>
              <w:bottom w:val="nil"/>
              <w:right w:val="nil"/>
            </w:tcBorders>
            <w:shd w:val="clear" w:color="000000" w:fill="FFFFFF"/>
            <w:noWrap/>
            <w:vAlign w:val="bottom"/>
            <w:hideMark/>
          </w:tcPr>
          <w:p w14:paraId="18559AD1" w14:textId="37549233" w:rsidR="00EC5B27" w:rsidRPr="005805E3" w:rsidRDefault="00EC5B27" w:rsidP="005004D1">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24</w:t>
            </w:r>
            <w:r w:rsidRPr="005805E3">
              <w:rPr>
                <w:rFonts w:eastAsia="Times New Roman" w:cs="Calibri"/>
                <w:color w:val="000000"/>
                <w:sz w:val="14"/>
                <w:szCs w:val="14"/>
                <w:lang w:eastAsia="es-ES"/>
              </w:rPr>
              <w:t>%</w:t>
            </w:r>
          </w:p>
        </w:tc>
      </w:tr>
      <w:tr w:rsidR="00EC5B27" w:rsidRPr="005805E3" w14:paraId="389D3318" w14:textId="77777777" w:rsidTr="005004D1">
        <w:trPr>
          <w:trHeight w:val="293"/>
        </w:trPr>
        <w:tc>
          <w:tcPr>
            <w:tcW w:w="3381" w:type="dxa"/>
            <w:tcBorders>
              <w:top w:val="nil"/>
              <w:left w:val="nil"/>
              <w:bottom w:val="nil"/>
              <w:right w:val="nil"/>
            </w:tcBorders>
            <w:shd w:val="clear" w:color="auto" w:fill="auto"/>
            <w:noWrap/>
            <w:vAlign w:val="bottom"/>
            <w:hideMark/>
          </w:tcPr>
          <w:p w14:paraId="3A12D5CF" w14:textId="4B0CCB59" w:rsidR="00EC5B27" w:rsidRPr="005805E3" w:rsidRDefault="00EC5B27" w:rsidP="005004D1">
            <w:pPr>
              <w:spacing w:after="0" w:line="240" w:lineRule="auto"/>
              <w:rPr>
                <w:rFonts w:eastAsia="Times New Roman" w:cs="Calibri"/>
                <w:color w:val="000000"/>
                <w:sz w:val="14"/>
                <w:szCs w:val="14"/>
                <w:lang w:eastAsia="es-ES"/>
              </w:rPr>
            </w:pPr>
            <w:r w:rsidRPr="005805E3">
              <w:rPr>
                <w:rFonts w:eastAsia="Times New Roman" w:cs="Calibri"/>
                <w:color w:val="000000"/>
                <w:sz w:val="14"/>
                <w:szCs w:val="14"/>
                <w:lang w:eastAsia="es-ES"/>
              </w:rPr>
              <w:t>Reparaciones y conservación</w:t>
            </w:r>
          </w:p>
        </w:tc>
        <w:tc>
          <w:tcPr>
            <w:tcW w:w="940" w:type="dxa"/>
            <w:tcBorders>
              <w:top w:val="nil"/>
              <w:left w:val="nil"/>
              <w:bottom w:val="nil"/>
              <w:right w:val="nil"/>
            </w:tcBorders>
            <w:shd w:val="clear" w:color="auto" w:fill="auto"/>
            <w:noWrap/>
            <w:vAlign w:val="center"/>
            <w:hideMark/>
          </w:tcPr>
          <w:p w14:paraId="7FA14761" w14:textId="2D925AC6" w:rsidR="00EC5B27" w:rsidRPr="005805E3" w:rsidRDefault="00EC5B27" w:rsidP="00EC5B27">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622</w:t>
            </w:r>
          </w:p>
        </w:tc>
        <w:tc>
          <w:tcPr>
            <w:tcW w:w="1208" w:type="dxa"/>
            <w:tcBorders>
              <w:top w:val="nil"/>
              <w:left w:val="nil"/>
              <w:bottom w:val="nil"/>
              <w:right w:val="nil"/>
            </w:tcBorders>
            <w:shd w:val="clear" w:color="auto" w:fill="auto"/>
            <w:noWrap/>
            <w:vAlign w:val="bottom"/>
            <w:hideMark/>
          </w:tcPr>
          <w:p w14:paraId="693C44A1" w14:textId="42CF5C96" w:rsidR="00EC5B27" w:rsidRPr="005805E3" w:rsidRDefault="00EC5B27" w:rsidP="005004D1">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Pr>
                <w:rFonts w:eastAsia="Times New Roman" w:cs="Calibri"/>
                <w:sz w:val="14"/>
                <w:szCs w:val="14"/>
                <w:lang w:eastAsia="es-ES"/>
              </w:rPr>
              <w:t>53.444</w:t>
            </w:r>
            <w:r w:rsidRPr="005805E3">
              <w:rPr>
                <w:rFonts w:eastAsia="Times New Roman" w:cs="Calibri"/>
                <w:sz w:val="14"/>
                <w:szCs w:val="14"/>
                <w:lang w:eastAsia="es-ES"/>
              </w:rPr>
              <w:t>)</w:t>
            </w:r>
          </w:p>
        </w:tc>
        <w:tc>
          <w:tcPr>
            <w:tcW w:w="1275" w:type="dxa"/>
            <w:tcBorders>
              <w:top w:val="nil"/>
              <w:left w:val="nil"/>
              <w:bottom w:val="nil"/>
              <w:right w:val="nil"/>
            </w:tcBorders>
            <w:shd w:val="clear" w:color="auto" w:fill="auto"/>
            <w:noWrap/>
            <w:vAlign w:val="bottom"/>
            <w:hideMark/>
          </w:tcPr>
          <w:p w14:paraId="4821C003" w14:textId="62BB2A3A" w:rsidR="00EC5B27" w:rsidRPr="005805E3" w:rsidRDefault="00EC5B27" w:rsidP="005004D1">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Pr>
                <w:rFonts w:eastAsia="Times New Roman" w:cs="Calibri"/>
                <w:sz w:val="14"/>
                <w:szCs w:val="14"/>
                <w:lang w:eastAsia="es-ES"/>
              </w:rPr>
              <w:t>58.201</w:t>
            </w:r>
            <w:r w:rsidRPr="005805E3">
              <w:rPr>
                <w:rFonts w:eastAsia="Times New Roman" w:cs="Calibri"/>
                <w:sz w:val="14"/>
                <w:szCs w:val="14"/>
                <w:lang w:eastAsia="es-ES"/>
              </w:rPr>
              <w:t>)</w:t>
            </w:r>
          </w:p>
        </w:tc>
        <w:tc>
          <w:tcPr>
            <w:tcW w:w="1134" w:type="dxa"/>
            <w:tcBorders>
              <w:top w:val="nil"/>
              <w:left w:val="nil"/>
              <w:bottom w:val="nil"/>
              <w:right w:val="nil"/>
            </w:tcBorders>
            <w:shd w:val="clear" w:color="000000" w:fill="FFFFFF"/>
            <w:noWrap/>
            <w:vAlign w:val="bottom"/>
            <w:hideMark/>
          </w:tcPr>
          <w:p w14:paraId="51CFFFAA" w14:textId="2D5259DF" w:rsidR="00EC5B27" w:rsidRPr="005805E3" w:rsidRDefault="00EC5B27" w:rsidP="005004D1">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4.757</w:t>
            </w:r>
          </w:p>
        </w:tc>
        <w:tc>
          <w:tcPr>
            <w:tcW w:w="566" w:type="dxa"/>
            <w:tcBorders>
              <w:top w:val="nil"/>
              <w:left w:val="nil"/>
              <w:bottom w:val="nil"/>
              <w:right w:val="nil"/>
            </w:tcBorders>
            <w:shd w:val="clear" w:color="000000" w:fill="FFFFFF"/>
            <w:noWrap/>
            <w:vAlign w:val="bottom"/>
            <w:hideMark/>
          </w:tcPr>
          <w:p w14:paraId="33900F06" w14:textId="1D4981B8" w:rsidR="00EC5B27" w:rsidRPr="005805E3" w:rsidRDefault="00EC5B27" w:rsidP="005004D1">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9</w:t>
            </w:r>
            <w:r w:rsidRPr="005805E3">
              <w:rPr>
                <w:rFonts w:eastAsia="Times New Roman" w:cs="Calibri"/>
                <w:color w:val="000000"/>
                <w:sz w:val="14"/>
                <w:szCs w:val="14"/>
                <w:lang w:eastAsia="es-ES"/>
              </w:rPr>
              <w:t>%</w:t>
            </w:r>
          </w:p>
        </w:tc>
      </w:tr>
      <w:tr w:rsidR="00EC5B27" w:rsidRPr="005805E3" w14:paraId="10AD82CF" w14:textId="77777777" w:rsidTr="005004D1">
        <w:trPr>
          <w:trHeight w:val="293"/>
        </w:trPr>
        <w:tc>
          <w:tcPr>
            <w:tcW w:w="3381" w:type="dxa"/>
            <w:tcBorders>
              <w:top w:val="nil"/>
              <w:left w:val="nil"/>
              <w:bottom w:val="nil"/>
              <w:right w:val="nil"/>
            </w:tcBorders>
            <w:shd w:val="clear" w:color="auto" w:fill="auto"/>
            <w:noWrap/>
            <w:vAlign w:val="bottom"/>
            <w:hideMark/>
          </w:tcPr>
          <w:p w14:paraId="01BDF85D" w14:textId="794AA1D5" w:rsidR="00EC5B27" w:rsidRPr="005805E3" w:rsidRDefault="00EC5B27" w:rsidP="005004D1">
            <w:pPr>
              <w:spacing w:after="0" w:line="240" w:lineRule="auto"/>
              <w:rPr>
                <w:rFonts w:eastAsia="Times New Roman" w:cs="Calibri"/>
                <w:color w:val="000000"/>
                <w:sz w:val="14"/>
                <w:szCs w:val="14"/>
                <w:lang w:eastAsia="es-ES"/>
              </w:rPr>
            </w:pPr>
            <w:r w:rsidRPr="005805E3">
              <w:rPr>
                <w:rFonts w:eastAsia="Times New Roman" w:cs="Calibri"/>
                <w:color w:val="000000"/>
                <w:sz w:val="14"/>
                <w:szCs w:val="14"/>
                <w:lang w:eastAsia="es-ES"/>
              </w:rPr>
              <w:t>Servicios profesionales independientes</w:t>
            </w:r>
          </w:p>
        </w:tc>
        <w:tc>
          <w:tcPr>
            <w:tcW w:w="940" w:type="dxa"/>
            <w:tcBorders>
              <w:top w:val="nil"/>
              <w:left w:val="nil"/>
              <w:bottom w:val="nil"/>
              <w:right w:val="nil"/>
            </w:tcBorders>
            <w:shd w:val="clear" w:color="auto" w:fill="auto"/>
            <w:noWrap/>
            <w:vAlign w:val="center"/>
            <w:hideMark/>
          </w:tcPr>
          <w:p w14:paraId="6FEDB6B0" w14:textId="167BC885" w:rsidR="00EC5B27" w:rsidRPr="005805E3" w:rsidRDefault="00EC5B27" w:rsidP="00EC5B27">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623</w:t>
            </w:r>
          </w:p>
        </w:tc>
        <w:tc>
          <w:tcPr>
            <w:tcW w:w="1208" w:type="dxa"/>
            <w:tcBorders>
              <w:top w:val="nil"/>
              <w:left w:val="nil"/>
              <w:bottom w:val="nil"/>
              <w:right w:val="nil"/>
            </w:tcBorders>
            <w:shd w:val="clear" w:color="auto" w:fill="auto"/>
            <w:noWrap/>
            <w:vAlign w:val="bottom"/>
            <w:hideMark/>
          </w:tcPr>
          <w:p w14:paraId="0D8672E8" w14:textId="117B8EA2" w:rsidR="00EC5B27" w:rsidRPr="005805E3" w:rsidRDefault="00EC5B27" w:rsidP="005004D1">
            <w:pPr>
              <w:spacing w:after="0" w:line="240" w:lineRule="auto"/>
              <w:jc w:val="center"/>
              <w:rPr>
                <w:rFonts w:eastAsia="Times New Roman" w:cs="Calibri"/>
                <w:color w:val="000000"/>
                <w:sz w:val="14"/>
                <w:szCs w:val="14"/>
                <w:lang w:eastAsia="es-ES"/>
              </w:rPr>
            </w:pPr>
            <w:r w:rsidRPr="005805E3">
              <w:rPr>
                <w:rFonts w:eastAsia="Times New Roman" w:cs="Calibri"/>
                <w:sz w:val="14"/>
                <w:szCs w:val="14"/>
                <w:lang w:eastAsia="es-ES"/>
              </w:rPr>
              <w:t>(</w:t>
            </w:r>
            <w:r>
              <w:rPr>
                <w:rFonts w:eastAsia="Times New Roman" w:cs="Calibri"/>
                <w:sz w:val="14"/>
                <w:szCs w:val="14"/>
                <w:lang w:eastAsia="es-ES"/>
              </w:rPr>
              <w:t>12.959.104</w:t>
            </w:r>
            <w:r w:rsidRPr="005805E3">
              <w:rPr>
                <w:rFonts w:eastAsia="Times New Roman" w:cs="Calibri"/>
                <w:sz w:val="14"/>
                <w:szCs w:val="14"/>
                <w:lang w:eastAsia="es-ES"/>
              </w:rPr>
              <w:t>)</w:t>
            </w:r>
          </w:p>
        </w:tc>
        <w:tc>
          <w:tcPr>
            <w:tcW w:w="1275" w:type="dxa"/>
            <w:tcBorders>
              <w:top w:val="nil"/>
              <w:left w:val="nil"/>
              <w:bottom w:val="nil"/>
              <w:right w:val="nil"/>
            </w:tcBorders>
            <w:shd w:val="clear" w:color="auto" w:fill="auto"/>
            <w:noWrap/>
            <w:vAlign w:val="bottom"/>
            <w:hideMark/>
          </w:tcPr>
          <w:p w14:paraId="79F2E726" w14:textId="3E0883C5" w:rsidR="00EC5B27" w:rsidRPr="005805E3" w:rsidRDefault="00EC5B27" w:rsidP="005004D1">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Pr>
                <w:rFonts w:eastAsia="Times New Roman" w:cs="Calibri"/>
                <w:sz w:val="14"/>
                <w:szCs w:val="14"/>
                <w:lang w:eastAsia="es-ES"/>
              </w:rPr>
              <w:t>14.2</w:t>
            </w:r>
            <w:r w:rsidR="00741935">
              <w:rPr>
                <w:rFonts w:eastAsia="Times New Roman" w:cs="Calibri"/>
                <w:sz w:val="14"/>
                <w:szCs w:val="14"/>
                <w:lang w:eastAsia="es-ES"/>
              </w:rPr>
              <w:t>44</w:t>
            </w:r>
            <w:r>
              <w:rPr>
                <w:rFonts w:eastAsia="Times New Roman" w:cs="Calibri"/>
                <w:sz w:val="14"/>
                <w:szCs w:val="14"/>
                <w:lang w:eastAsia="es-ES"/>
              </w:rPr>
              <w:t>.929</w:t>
            </w:r>
            <w:r w:rsidRPr="005805E3">
              <w:rPr>
                <w:rFonts w:eastAsia="Times New Roman" w:cs="Calibri"/>
                <w:sz w:val="14"/>
                <w:szCs w:val="14"/>
                <w:lang w:eastAsia="es-ES"/>
              </w:rPr>
              <w:t>)</w:t>
            </w:r>
          </w:p>
        </w:tc>
        <w:tc>
          <w:tcPr>
            <w:tcW w:w="1134" w:type="dxa"/>
            <w:tcBorders>
              <w:top w:val="nil"/>
              <w:left w:val="nil"/>
              <w:bottom w:val="nil"/>
              <w:right w:val="nil"/>
            </w:tcBorders>
            <w:shd w:val="clear" w:color="000000" w:fill="FFFFFF"/>
            <w:noWrap/>
            <w:vAlign w:val="bottom"/>
            <w:hideMark/>
          </w:tcPr>
          <w:p w14:paraId="769A97D5" w14:textId="1ABEFB51" w:rsidR="00EC5B27" w:rsidRPr="005805E3" w:rsidRDefault="00EC5B27" w:rsidP="005004D1">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1.28</w:t>
            </w:r>
            <w:r w:rsidR="007120FB">
              <w:rPr>
                <w:rFonts w:eastAsia="Times New Roman" w:cs="Calibri"/>
                <w:color w:val="000000"/>
                <w:sz w:val="14"/>
                <w:szCs w:val="14"/>
                <w:lang w:eastAsia="es-ES"/>
              </w:rPr>
              <w:t>5</w:t>
            </w:r>
            <w:r>
              <w:rPr>
                <w:rFonts w:eastAsia="Times New Roman" w:cs="Calibri"/>
                <w:color w:val="000000"/>
                <w:sz w:val="14"/>
                <w:szCs w:val="14"/>
                <w:lang w:eastAsia="es-ES"/>
              </w:rPr>
              <w:t>.825</w:t>
            </w:r>
          </w:p>
        </w:tc>
        <w:tc>
          <w:tcPr>
            <w:tcW w:w="566" w:type="dxa"/>
            <w:tcBorders>
              <w:top w:val="nil"/>
              <w:left w:val="nil"/>
              <w:bottom w:val="nil"/>
              <w:right w:val="nil"/>
            </w:tcBorders>
            <w:shd w:val="clear" w:color="000000" w:fill="FFFFFF"/>
            <w:noWrap/>
            <w:vAlign w:val="bottom"/>
            <w:hideMark/>
          </w:tcPr>
          <w:p w14:paraId="23BFD079" w14:textId="0702394C" w:rsidR="00EC5B27" w:rsidRPr="005805E3" w:rsidRDefault="00EC5B27" w:rsidP="005004D1">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10</w:t>
            </w:r>
            <w:r w:rsidRPr="005805E3">
              <w:rPr>
                <w:rFonts w:eastAsia="Times New Roman" w:cs="Calibri"/>
                <w:color w:val="000000"/>
                <w:sz w:val="14"/>
                <w:szCs w:val="14"/>
                <w:lang w:eastAsia="es-ES"/>
              </w:rPr>
              <w:t>%</w:t>
            </w:r>
          </w:p>
        </w:tc>
      </w:tr>
      <w:tr w:rsidR="00EC5B27" w:rsidRPr="005805E3" w14:paraId="2F9B419C" w14:textId="77777777" w:rsidTr="00526C4A">
        <w:trPr>
          <w:trHeight w:val="293"/>
        </w:trPr>
        <w:tc>
          <w:tcPr>
            <w:tcW w:w="3381" w:type="dxa"/>
            <w:tcBorders>
              <w:top w:val="nil"/>
              <w:left w:val="nil"/>
              <w:bottom w:val="nil"/>
              <w:right w:val="nil"/>
            </w:tcBorders>
            <w:shd w:val="clear" w:color="auto" w:fill="auto"/>
            <w:noWrap/>
            <w:vAlign w:val="bottom"/>
            <w:hideMark/>
          </w:tcPr>
          <w:p w14:paraId="6B7FF24C" w14:textId="32111989" w:rsidR="00EC5B27" w:rsidRPr="005805E3" w:rsidRDefault="00EC5B27" w:rsidP="005004D1">
            <w:pPr>
              <w:spacing w:after="0" w:line="240" w:lineRule="auto"/>
              <w:rPr>
                <w:rFonts w:eastAsia="Times New Roman" w:cs="Calibri"/>
                <w:b/>
                <w:bCs/>
                <w:color w:val="000000"/>
                <w:sz w:val="14"/>
                <w:szCs w:val="14"/>
                <w:lang w:eastAsia="es-ES"/>
              </w:rPr>
            </w:pPr>
            <w:r w:rsidRPr="005805E3">
              <w:rPr>
                <w:rFonts w:eastAsia="Times New Roman" w:cs="Calibri"/>
                <w:color w:val="000000"/>
                <w:sz w:val="14"/>
                <w:szCs w:val="14"/>
                <w:lang w:eastAsia="es-ES"/>
              </w:rPr>
              <w:t>Transportes</w:t>
            </w:r>
          </w:p>
        </w:tc>
        <w:tc>
          <w:tcPr>
            <w:tcW w:w="940" w:type="dxa"/>
            <w:tcBorders>
              <w:top w:val="nil"/>
              <w:left w:val="nil"/>
              <w:bottom w:val="nil"/>
              <w:right w:val="nil"/>
            </w:tcBorders>
            <w:shd w:val="clear" w:color="auto" w:fill="auto"/>
            <w:noWrap/>
            <w:vAlign w:val="center"/>
            <w:hideMark/>
          </w:tcPr>
          <w:p w14:paraId="267F492B" w14:textId="7FDF981A" w:rsidR="00EC5B27" w:rsidRPr="005805E3" w:rsidRDefault="00EC5B27" w:rsidP="00EC5B27">
            <w:pPr>
              <w:spacing w:after="0" w:line="240" w:lineRule="auto"/>
              <w:jc w:val="center"/>
              <w:rPr>
                <w:rFonts w:eastAsia="Times New Roman" w:cs="Calibri"/>
                <w:b/>
                <w:bCs/>
                <w:color w:val="000000"/>
                <w:sz w:val="14"/>
                <w:szCs w:val="14"/>
                <w:lang w:eastAsia="es-ES"/>
              </w:rPr>
            </w:pPr>
            <w:r w:rsidRPr="005805E3">
              <w:rPr>
                <w:rFonts w:eastAsia="Times New Roman" w:cs="Calibri"/>
                <w:b/>
                <w:bCs/>
                <w:sz w:val="14"/>
                <w:szCs w:val="14"/>
                <w:lang w:eastAsia="es-ES"/>
              </w:rPr>
              <w:t>624</w:t>
            </w:r>
          </w:p>
        </w:tc>
        <w:tc>
          <w:tcPr>
            <w:tcW w:w="1208" w:type="dxa"/>
            <w:tcBorders>
              <w:top w:val="nil"/>
              <w:left w:val="nil"/>
              <w:bottom w:val="nil"/>
              <w:right w:val="nil"/>
            </w:tcBorders>
            <w:shd w:val="clear" w:color="auto" w:fill="auto"/>
            <w:noWrap/>
            <w:vAlign w:val="bottom"/>
            <w:hideMark/>
          </w:tcPr>
          <w:p w14:paraId="7C26BE53" w14:textId="50CBA08E" w:rsidR="00EC5B27" w:rsidRPr="005805E3" w:rsidRDefault="00EC5B27" w:rsidP="005004D1">
            <w:pPr>
              <w:spacing w:after="0" w:line="240" w:lineRule="auto"/>
              <w:jc w:val="center"/>
              <w:rPr>
                <w:rFonts w:eastAsia="Times New Roman" w:cs="Calibri"/>
                <w:b/>
                <w:bCs/>
                <w:color w:val="000000"/>
                <w:sz w:val="14"/>
                <w:szCs w:val="14"/>
                <w:lang w:eastAsia="es-ES"/>
              </w:rPr>
            </w:pPr>
            <w:r w:rsidRPr="005805E3">
              <w:rPr>
                <w:rFonts w:eastAsia="Times New Roman" w:cs="Calibri"/>
                <w:sz w:val="14"/>
                <w:szCs w:val="14"/>
                <w:lang w:eastAsia="es-ES"/>
              </w:rPr>
              <w:t>(</w:t>
            </w:r>
            <w:r>
              <w:rPr>
                <w:rFonts w:eastAsia="Times New Roman" w:cs="Calibri"/>
                <w:sz w:val="14"/>
                <w:szCs w:val="14"/>
                <w:lang w:eastAsia="es-ES"/>
              </w:rPr>
              <w:t>6.124</w:t>
            </w:r>
            <w:r w:rsidRPr="005805E3">
              <w:rPr>
                <w:rFonts w:eastAsia="Times New Roman" w:cs="Calibri"/>
                <w:sz w:val="14"/>
                <w:szCs w:val="14"/>
                <w:lang w:eastAsia="es-ES"/>
              </w:rPr>
              <w:t>)</w:t>
            </w:r>
          </w:p>
        </w:tc>
        <w:tc>
          <w:tcPr>
            <w:tcW w:w="1275" w:type="dxa"/>
            <w:tcBorders>
              <w:top w:val="nil"/>
              <w:left w:val="nil"/>
              <w:bottom w:val="nil"/>
              <w:right w:val="nil"/>
            </w:tcBorders>
            <w:shd w:val="clear" w:color="auto" w:fill="auto"/>
            <w:noWrap/>
            <w:vAlign w:val="bottom"/>
            <w:hideMark/>
          </w:tcPr>
          <w:p w14:paraId="75606FD5" w14:textId="2E440EEF" w:rsidR="00EC5B27" w:rsidRPr="005805E3" w:rsidRDefault="00EC5B27" w:rsidP="005004D1">
            <w:pPr>
              <w:spacing w:after="0" w:line="240" w:lineRule="auto"/>
              <w:jc w:val="center"/>
              <w:rPr>
                <w:rFonts w:eastAsia="Times New Roman" w:cs="Calibri"/>
                <w:b/>
                <w:bCs/>
                <w:color w:val="000000"/>
                <w:sz w:val="14"/>
                <w:szCs w:val="14"/>
                <w:lang w:eastAsia="es-ES"/>
              </w:rPr>
            </w:pPr>
            <w:r w:rsidRPr="005805E3">
              <w:rPr>
                <w:rFonts w:eastAsia="Times New Roman" w:cs="Calibri"/>
                <w:sz w:val="14"/>
                <w:szCs w:val="14"/>
                <w:lang w:eastAsia="es-ES"/>
              </w:rPr>
              <w:t>(</w:t>
            </w:r>
            <w:r>
              <w:rPr>
                <w:rFonts w:eastAsia="Times New Roman" w:cs="Calibri"/>
                <w:sz w:val="14"/>
                <w:szCs w:val="14"/>
                <w:lang w:eastAsia="es-ES"/>
              </w:rPr>
              <w:t>5.690</w:t>
            </w:r>
            <w:r w:rsidRPr="005805E3">
              <w:rPr>
                <w:rFonts w:eastAsia="Times New Roman" w:cs="Calibri"/>
                <w:sz w:val="14"/>
                <w:szCs w:val="14"/>
                <w:lang w:eastAsia="es-ES"/>
              </w:rPr>
              <w:t>)</w:t>
            </w:r>
          </w:p>
        </w:tc>
        <w:tc>
          <w:tcPr>
            <w:tcW w:w="1134" w:type="dxa"/>
            <w:tcBorders>
              <w:top w:val="nil"/>
              <w:left w:val="nil"/>
              <w:bottom w:val="nil"/>
              <w:right w:val="nil"/>
            </w:tcBorders>
            <w:shd w:val="clear" w:color="000000" w:fill="FFFFFF"/>
            <w:noWrap/>
            <w:vAlign w:val="bottom"/>
            <w:hideMark/>
          </w:tcPr>
          <w:p w14:paraId="0FAF3DFC" w14:textId="34995C30" w:rsidR="00EC5B27" w:rsidRPr="005805E3" w:rsidRDefault="00EC5B27" w:rsidP="005004D1">
            <w:pPr>
              <w:spacing w:after="0" w:line="240" w:lineRule="auto"/>
              <w:jc w:val="center"/>
              <w:rPr>
                <w:rFonts w:eastAsia="Times New Roman" w:cs="Calibri"/>
                <w:b/>
                <w:bCs/>
                <w:color w:val="000000"/>
                <w:sz w:val="14"/>
                <w:szCs w:val="14"/>
                <w:lang w:eastAsia="es-ES"/>
              </w:rPr>
            </w:pPr>
            <w:r>
              <w:rPr>
                <w:rFonts w:eastAsia="Times New Roman" w:cs="Calibri"/>
                <w:color w:val="000000"/>
                <w:sz w:val="14"/>
                <w:szCs w:val="14"/>
                <w:lang w:eastAsia="es-ES"/>
              </w:rPr>
              <w:t>(434)</w:t>
            </w:r>
          </w:p>
        </w:tc>
        <w:tc>
          <w:tcPr>
            <w:tcW w:w="566" w:type="dxa"/>
            <w:tcBorders>
              <w:top w:val="nil"/>
              <w:left w:val="nil"/>
              <w:bottom w:val="nil"/>
              <w:right w:val="nil"/>
            </w:tcBorders>
            <w:shd w:val="clear" w:color="000000" w:fill="FFFFFF"/>
            <w:noWrap/>
            <w:vAlign w:val="bottom"/>
            <w:hideMark/>
          </w:tcPr>
          <w:p w14:paraId="50E9ACE9" w14:textId="1162B27B" w:rsidR="00EC5B27" w:rsidRPr="005805E3" w:rsidRDefault="00EC5B27" w:rsidP="005004D1">
            <w:pPr>
              <w:spacing w:after="0" w:line="240" w:lineRule="auto"/>
              <w:jc w:val="center"/>
              <w:rPr>
                <w:rFonts w:eastAsia="Times New Roman" w:cs="Calibri"/>
                <w:b/>
                <w:bCs/>
                <w:color w:val="000000"/>
                <w:sz w:val="14"/>
                <w:szCs w:val="14"/>
                <w:lang w:eastAsia="es-ES"/>
              </w:rPr>
            </w:pPr>
            <w:r>
              <w:rPr>
                <w:rFonts w:eastAsia="Times New Roman" w:cs="Calibri"/>
                <w:color w:val="000000"/>
                <w:sz w:val="14"/>
                <w:szCs w:val="14"/>
                <w:lang w:eastAsia="es-ES"/>
              </w:rPr>
              <w:t>-7</w:t>
            </w:r>
            <w:r w:rsidRPr="005805E3">
              <w:rPr>
                <w:rFonts w:eastAsia="Times New Roman" w:cs="Calibri"/>
                <w:color w:val="000000"/>
                <w:sz w:val="14"/>
                <w:szCs w:val="14"/>
                <w:lang w:eastAsia="es-ES"/>
              </w:rPr>
              <w:t>%</w:t>
            </w:r>
          </w:p>
        </w:tc>
      </w:tr>
      <w:tr w:rsidR="00EC5B27" w:rsidRPr="005805E3" w14:paraId="2A7DDD6E" w14:textId="77777777" w:rsidTr="00526C4A">
        <w:trPr>
          <w:trHeight w:val="293"/>
        </w:trPr>
        <w:tc>
          <w:tcPr>
            <w:tcW w:w="3381" w:type="dxa"/>
            <w:tcBorders>
              <w:top w:val="nil"/>
              <w:left w:val="nil"/>
              <w:bottom w:val="nil"/>
              <w:right w:val="nil"/>
            </w:tcBorders>
            <w:shd w:val="clear" w:color="auto" w:fill="auto"/>
            <w:noWrap/>
            <w:vAlign w:val="bottom"/>
            <w:hideMark/>
          </w:tcPr>
          <w:p w14:paraId="7230C4C7" w14:textId="67BA8287" w:rsidR="00EC5B27" w:rsidRPr="005805E3" w:rsidRDefault="00EC5B27" w:rsidP="005004D1">
            <w:pPr>
              <w:spacing w:after="0" w:line="240" w:lineRule="auto"/>
              <w:rPr>
                <w:rFonts w:eastAsia="Times New Roman" w:cs="Calibri"/>
                <w:b/>
                <w:bCs/>
                <w:color w:val="000000"/>
                <w:sz w:val="14"/>
                <w:szCs w:val="14"/>
                <w:lang w:eastAsia="es-ES"/>
              </w:rPr>
            </w:pPr>
            <w:r w:rsidRPr="005805E3">
              <w:rPr>
                <w:rFonts w:eastAsia="Times New Roman" w:cs="Calibri"/>
                <w:color w:val="000000"/>
                <w:sz w:val="14"/>
                <w:szCs w:val="14"/>
                <w:lang w:eastAsia="es-ES"/>
              </w:rPr>
              <w:t>Primas de seguros</w:t>
            </w:r>
          </w:p>
        </w:tc>
        <w:tc>
          <w:tcPr>
            <w:tcW w:w="940" w:type="dxa"/>
            <w:tcBorders>
              <w:top w:val="nil"/>
              <w:left w:val="nil"/>
              <w:bottom w:val="nil"/>
              <w:right w:val="nil"/>
            </w:tcBorders>
            <w:shd w:val="clear" w:color="auto" w:fill="auto"/>
            <w:noWrap/>
            <w:vAlign w:val="center"/>
            <w:hideMark/>
          </w:tcPr>
          <w:p w14:paraId="53F9EE98" w14:textId="046C198C" w:rsidR="00EC5B27" w:rsidRPr="005805E3" w:rsidRDefault="00EC5B27" w:rsidP="00EC5B27">
            <w:pPr>
              <w:spacing w:after="0" w:line="240" w:lineRule="auto"/>
              <w:jc w:val="center"/>
              <w:rPr>
                <w:rFonts w:eastAsia="Times New Roman" w:cs="Calibri"/>
                <w:b/>
                <w:bCs/>
                <w:color w:val="000000"/>
                <w:sz w:val="14"/>
                <w:szCs w:val="14"/>
                <w:lang w:eastAsia="es-ES"/>
              </w:rPr>
            </w:pPr>
            <w:r w:rsidRPr="005805E3">
              <w:rPr>
                <w:rFonts w:eastAsia="Times New Roman" w:cs="Calibri"/>
                <w:b/>
                <w:bCs/>
                <w:sz w:val="14"/>
                <w:szCs w:val="14"/>
                <w:lang w:eastAsia="es-ES"/>
              </w:rPr>
              <w:t>625</w:t>
            </w:r>
          </w:p>
        </w:tc>
        <w:tc>
          <w:tcPr>
            <w:tcW w:w="1208" w:type="dxa"/>
            <w:tcBorders>
              <w:top w:val="nil"/>
              <w:left w:val="nil"/>
              <w:bottom w:val="nil"/>
              <w:right w:val="nil"/>
            </w:tcBorders>
            <w:shd w:val="clear" w:color="auto" w:fill="auto"/>
            <w:noWrap/>
            <w:vAlign w:val="bottom"/>
            <w:hideMark/>
          </w:tcPr>
          <w:p w14:paraId="36431110" w14:textId="65EE7B5C" w:rsidR="00EC5B27" w:rsidRPr="005805E3" w:rsidRDefault="00EC5B27" w:rsidP="005004D1">
            <w:pPr>
              <w:spacing w:after="0" w:line="240" w:lineRule="auto"/>
              <w:jc w:val="center"/>
              <w:rPr>
                <w:rFonts w:eastAsia="Times New Roman" w:cs="Calibri"/>
                <w:b/>
                <w:bCs/>
                <w:color w:val="000000"/>
                <w:sz w:val="14"/>
                <w:szCs w:val="14"/>
                <w:lang w:eastAsia="es-ES"/>
              </w:rPr>
            </w:pPr>
            <w:r w:rsidRPr="005805E3">
              <w:rPr>
                <w:rFonts w:eastAsia="Times New Roman" w:cs="Calibri"/>
                <w:sz w:val="14"/>
                <w:szCs w:val="14"/>
                <w:lang w:eastAsia="es-ES"/>
              </w:rPr>
              <w:t>(</w:t>
            </w:r>
            <w:r>
              <w:rPr>
                <w:rFonts w:eastAsia="Times New Roman" w:cs="Calibri"/>
                <w:sz w:val="14"/>
                <w:szCs w:val="14"/>
                <w:lang w:eastAsia="es-ES"/>
              </w:rPr>
              <w:t>2.710</w:t>
            </w:r>
            <w:r w:rsidRPr="005805E3">
              <w:rPr>
                <w:rFonts w:eastAsia="Times New Roman" w:cs="Calibri"/>
                <w:sz w:val="14"/>
                <w:szCs w:val="14"/>
                <w:lang w:eastAsia="es-ES"/>
              </w:rPr>
              <w:t>)</w:t>
            </w:r>
          </w:p>
        </w:tc>
        <w:tc>
          <w:tcPr>
            <w:tcW w:w="1275" w:type="dxa"/>
            <w:tcBorders>
              <w:top w:val="nil"/>
              <w:left w:val="nil"/>
              <w:bottom w:val="nil"/>
              <w:right w:val="nil"/>
            </w:tcBorders>
            <w:shd w:val="clear" w:color="auto" w:fill="auto"/>
            <w:noWrap/>
            <w:vAlign w:val="bottom"/>
            <w:hideMark/>
          </w:tcPr>
          <w:p w14:paraId="45F27678" w14:textId="4762563C" w:rsidR="00EC5B27" w:rsidRPr="005805E3" w:rsidRDefault="00EC5B27" w:rsidP="005004D1">
            <w:pPr>
              <w:spacing w:after="0" w:line="240" w:lineRule="auto"/>
              <w:jc w:val="center"/>
              <w:rPr>
                <w:rFonts w:eastAsia="Times New Roman" w:cs="Calibri"/>
                <w:b/>
                <w:bCs/>
                <w:color w:val="000000"/>
                <w:sz w:val="14"/>
                <w:szCs w:val="14"/>
                <w:lang w:eastAsia="es-ES"/>
              </w:rPr>
            </w:pPr>
            <w:r w:rsidRPr="005805E3">
              <w:rPr>
                <w:rFonts w:eastAsia="Times New Roman" w:cs="Calibri"/>
                <w:sz w:val="14"/>
                <w:szCs w:val="14"/>
                <w:lang w:eastAsia="es-ES"/>
              </w:rPr>
              <w:t>(</w:t>
            </w:r>
            <w:r>
              <w:rPr>
                <w:rFonts w:eastAsia="Times New Roman" w:cs="Calibri"/>
                <w:sz w:val="14"/>
                <w:szCs w:val="14"/>
                <w:lang w:eastAsia="es-ES"/>
              </w:rPr>
              <w:t>2.505)</w:t>
            </w:r>
          </w:p>
        </w:tc>
        <w:tc>
          <w:tcPr>
            <w:tcW w:w="1134" w:type="dxa"/>
            <w:tcBorders>
              <w:top w:val="nil"/>
              <w:left w:val="nil"/>
              <w:bottom w:val="nil"/>
              <w:right w:val="nil"/>
            </w:tcBorders>
            <w:shd w:val="clear" w:color="000000" w:fill="FFFFFF"/>
            <w:noWrap/>
            <w:vAlign w:val="bottom"/>
            <w:hideMark/>
          </w:tcPr>
          <w:p w14:paraId="01B7A367" w14:textId="7F0567A5" w:rsidR="00EC5B27" w:rsidRPr="005805E3" w:rsidRDefault="00EC5B27" w:rsidP="005004D1">
            <w:pPr>
              <w:spacing w:after="0" w:line="240" w:lineRule="auto"/>
              <w:jc w:val="center"/>
              <w:rPr>
                <w:rFonts w:eastAsia="Times New Roman" w:cs="Calibri"/>
                <w:b/>
                <w:bCs/>
                <w:color w:val="000000"/>
                <w:sz w:val="14"/>
                <w:szCs w:val="14"/>
                <w:lang w:eastAsia="es-ES"/>
              </w:rPr>
            </w:pPr>
            <w:r w:rsidRPr="005805E3">
              <w:rPr>
                <w:rFonts w:eastAsia="Times New Roman" w:cs="Calibri"/>
                <w:color w:val="000000"/>
                <w:sz w:val="14"/>
                <w:szCs w:val="14"/>
                <w:lang w:eastAsia="es-ES"/>
              </w:rPr>
              <w:t>(</w:t>
            </w:r>
            <w:r>
              <w:rPr>
                <w:rFonts w:eastAsia="Times New Roman" w:cs="Calibri"/>
                <w:color w:val="000000"/>
                <w:sz w:val="14"/>
                <w:szCs w:val="14"/>
                <w:lang w:eastAsia="es-ES"/>
              </w:rPr>
              <w:t>205</w:t>
            </w:r>
            <w:r w:rsidRPr="005805E3">
              <w:rPr>
                <w:rFonts w:eastAsia="Times New Roman" w:cs="Calibri"/>
                <w:color w:val="000000"/>
                <w:sz w:val="14"/>
                <w:szCs w:val="14"/>
                <w:lang w:eastAsia="es-ES"/>
              </w:rPr>
              <w:t>)</w:t>
            </w:r>
          </w:p>
        </w:tc>
        <w:tc>
          <w:tcPr>
            <w:tcW w:w="566" w:type="dxa"/>
            <w:tcBorders>
              <w:top w:val="nil"/>
              <w:left w:val="nil"/>
              <w:bottom w:val="nil"/>
              <w:right w:val="nil"/>
            </w:tcBorders>
            <w:shd w:val="clear" w:color="000000" w:fill="FFFFFF"/>
            <w:noWrap/>
            <w:vAlign w:val="bottom"/>
            <w:hideMark/>
          </w:tcPr>
          <w:p w14:paraId="7D0456AB" w14:textId="1F6A33B2" w:rsidR="00EC5B27" w:rsidRPr="005805E3" w:rsidRDefault="00EC5B27" w:rsidP="005004D1">
            <w:pPr>
              <w:spacing w:after="0" w:line="240" w:lineRule="auto"/>
              <w:jc w:val="center"/>
              <w:rPr>
                <w:rFonts w:eastAsia="Times New Roman" w:cs="Calibri"/>
                <w:b/>
                <w:bCs/>
                <w:color w:val="000000"/>
                <w:sz w:val="14"/>
                <w:szCs w:val="14"/>
                <w:lang w:eastAsia="es-ES"/>
              </w:rPr>
            </w:pPr>
            <w:r w:rsidRPr="005805E3">
              <w:rPr>
                <w:rFonts w:eastAsia="Times New Roman" w:cs="Calibri"/>
                <w:color w:val="000000"/>
                <w:sz w:val="14"/>
                <w:szCs w:val="14"/>
                <w:lang w:eastAsia="es-ES"/>
              </w:rPr>
              <w:t>-</w:t>
            </w:r>
            <w:r>
              <w:rPr>
                <w:rFonts w:eastAsia="Times New Roman" w:cs="Calibri"/>
                <w:color w:val="000000"/>
                <w:sz w:val="14"/>
                <w:szCs w:val="14"/>
                <w:lang w:eastAsia="es-ES"/>
              </w:rPr>
              <w:t>8</w:t>
            </w:r>
            <w:r w:rsidRPr="005805E3">
              <w:rPr>
                <w:rFonts w:eastAsia="Times New Roman" w:cs="Calibri"/>
                <w:color w:val="000000"/>
                <w:sz w:val="14"/>
                <w:szCs w:val="14"/>
                <w:lang w:eastAsia="es-ES"/>
              </w:rPr>
              <w:t>%</w:t>
            </w:r>
          </w:p>
        </w:tc>
      </w:tr>
      <w:tr w:rsidR="00EC5B27" w:rsidRPr="005805E3" w14:paraId="3AD1ABC2" w14:textId="77777777" w:rsidTr="005004D1">
        <w:trPr>
          <w:trHeight w:val="293"/>
        </w:trPr>
        <w:tc>
          <w:tcPr>
            <w:tcW w:w="3381" w:type="dxa"/>
            <w:tcBorders>
              <w:top w:val="nil"/>
              <w:left w:val="nil"/>
              <w:bottom w:val="nil"/>
              <w:right w:val="nil"/>
            </w:tcBorders>
            <w:shd w:val="clear" w:color="auto" w:fill="auto"/>
            <w:noWrap/>
            <w:vAlign w:val="bottom"/>
            <w:hideMark/>
          </w:tcPr>
          <w:p w14:paraId="39A48061" w14:textId="71836C69" w:rsidR="00EC5B27" w:rsidRPr="005805E3" w:rsidRDefault="00EC5B27" w:rsidP="005004D1">
            <w:pPr>
              <w:spacing w:after="0" w:line="240" w:lineRule="auto"/>
              <w:rPr>
                <w:rFonts w:eastAsia="Times New Roman" w:cs="Calibri"/>
                <w:b/>
                <w:bCs/>
                <w:color w:val="000000"/>
                <w:sz w:val="14"/>
                <w:szCs w:val="14"/>
                <w:lang w:eastAsia="es-ES"/>
              </w:rPr>
            </w:pPr>
            <w:r w:rsidRPr="005805E3">
              <w:rPr>
                <w:rFonts w:eastAsia="Times New Roman" w:cs="Calibri"/>
                <w:color w:val="000000"/>
                <w:sz w:val="14"/>
                <w:szCs w:val="14"/>
                <w:lang w:eastAsia="es-ES"/>
              </w:rPr>
              <w:t>Servicios bancarios</w:t>
            </w:r>
          </w:p>
        </w:tc>
        <w:tc>
          <w:tcPr>
            <w:tcW w:w="940" w:type="dxa"/>
            <w:tcBorders>
              <w:top w:val="nil"/>
              <w:left w:val="nil"/>
              <w:bottom w:val="nil"/>
              <w:right w:val="nil"/>
            </w:tcBorders>
            <w:shd w:val="clear" w:color="auto" w:fill="auto"/>
            <w:noWrap/>
            <w:vAlign w:val="center"/>
            <w:hideMark/>
          </w:tcPr>
          <w:p w14:paraId="76DDE4A6" w14:textId="59E2DC19" w:rsidR="00EC5B27" w:rsidRPr="005805E3" w:rsidRDefault="00EC5B27" w:rsidP="00EC5B27">
            <w:pPr>
              <w:spacing w:after="0" w:line="240" w:lineRule="auto"/>
              <w:jc w:val="center"/>
              <w:rPr>
                <w:rFonts w:eastAsia="Times New Roman" w:cs="Calibri"/>
                <w:b/>
                <w:bCs/>
                <w:color w:val="000000"/>
                <w:sz w:val="14"/>
                <w:szCs w:val="14"/>
                <w:lang w:eastAsia="es-ES"/>
              </w:rPr>
            </w:pPr>
            <w:r w:rsidRPr="005805E3">
              <w:rPr>
                <w:rFonts w:eastAsia="Times New Roman" w:cs="Calibri"/>
                <w:b/>
                <w:bCs/>
                <w:sz w:val="14"/>
                <w:szCs w:val="14"/>
                <w:lang w:eastAsia="es-ES"/>
              </w:rPr>
              <w:t>626</w:t>
            </w:r>
          </w:p>
        </w:tc>
        <w:tc>
          <w:tcPr>
            <w:tcW w:w="1208" w:type="dxa"/>
            <w:tcBorders>
              <w:top w:val="nil"/>
              <w:left w:val="nil"/>
              <w:bottom w:val="nil"/>
              <w:right w:val="nil"/>
            </w:tcBorders>
            <w:shd w:val="clear" w:color="auto" w:fill="auto"/>
            <w:noWrap/>
            <w:vAlign w:val="bottom"/>
            <w:hideMark/>
          </w:tcPr>
          <w:p w14:paraId="3999A539" w14:textId="1C1E0EB7" w:rsidR="00EC5B27" w:rsidRPr="005805E3" w:rsidRDefault="00EC5B27" w:rsidP="005004D1">
            <w:pPr>
              <w:spacing w:after="0" w:line="240" w:lineRule="auto"/>
              <w:jc w:val="center"/>
              <w:rPr>
                <w:rFonts w:eastAsia="Times New Roman" w:cs="Calibri"/>
                <w:b/>
                <w:bCs/>
                <w:sz w:val="14"/>
                <w:szCs w:val="14"/>
                <w:lang w:eastAsia="es-ES"/>
              </w:rPr>
            </w:pPr>
            <w:r w:rsidRPr="005805E3">
              <w:rPr>
                <w:rFonts w:eastAsia="Times New Roman" w:cs="Calibri"/>
                <w:sz w:val="14"/>
                <w:szCs w:val="14"/>
                <w:lang w:eastAsia="es-ES"/>
              </w:rPr>
              <w:t>(</w:t>
            </w:r>
            <w:r>
              <w:rPr>
                <w:rFonts w:eastAsia="Times New Roman" w:cs="Calibri"/>
                <w:sz w:val="14"/>
                <w:szCs w:val="14"/>
                <w:lang w:eastAsia="es-ES"/>
              </w:rPr>
              <w:t>6.061</w:t>
            </w:r>
            <w:r w:rsidRPr="005805E3">
              <w:rPr>
                <w:rFonts w:eastAsia="Times New Roman" w:cs="Calibri"/>
                <w:sz w:val="14"/>
                <w:szCs w:val="14"/>
                <w:lang w:eastAsia="es-ES"/>
              </w:rPr>
              <w:t>)</w:t>
            </w:r>
          </w:p>
        </w:tc>
        <w:tc>
          <w:tcPr>
            <w:tcW w:w="1275" w:type="dxa"/>
            <w:tcBorders>
              <w:top w:val="nil"/>
              <w:left w:val="nil"/>
              <w:bottom w:val="nil"/>
              <w:right w:val="nil"/>
            </w:tcBorders>
            <w:shd w:val="clear" w:color="auto" w:fill="auto"/>
            <w:noWrap/>
            <w:vAlign w:val="bottom"/>
            <w:hideMark/>
          </w:tcPr>
          <w:p w14:paraId="56644B5B" w14:textId="27EE1465" w:rsidR="00EC5B27" w:rsidRPr="005805E3" w:rsidRDefault="00EC5B27" w:rsidP="005004D1">
            <w:pPr>
              <w:spacing w:after="0" w:line="240" w:lineRule="auto"/>
              <w:jc w:val="center"/>
              <w:rPr>
                <w:rFonts w:eastAsia="Times New Roman" w:cs="Calibri"/>
                <w:b/>
                <w:bCs/>
                <w:sz w:val="14"/>
                <w:szCs w:val="14"/>
                <w:lang w:eastAsia="es-ES"/>
              </w:rPr>
            </w:pPr>
            <w:r w:rsidRPr="005805E3">
              <w:rPr>
                <w:rFonts w:eastAsia="Times New Roman" w:cs="Calibri"/>
                <w:sz w:val="14"/>
                <w:szCs w:val="14"/>
                <w:lang w:eastAsia="es-ES"/>
              </w:rPr>
              <w:t>(</w:t>
            </w:r>
            <w:r>
              <w:rPr>
                <w:rFonts w:eastAsia="Times New Roman" w:cs="Calibri"/>
                <w:sz w:val="14"/>
                <w:szCs w:val="14"/>
                <w:lang w:eastAsia="es-ES"/>
              </w:rPr>
              <w:t>8.004</w:t>
            </w:r>
            <w:r w:rsidRPr="005805E3">
              <w:rPr>
                <w:rFonts w:eastAsia="Times New Roman" w:cs="Calibri"/>
                <w:sz w:val="14"/>
                <w:szCs w:val="14"/>
                <w:lang w:eastAsia="es-ES"/>
              </w:rPr>
              <w:t>)</w:t>
            </w:r>
          </w:p>
        </w:tc>
        <w:tc>
          <w:tcPr>
            <w:tcW w:w="1134" w:type="dxa"/>
            <w:tcBorders>
              <w:top w:val="nil"/>
              <w:left w:val="nil"/>
              <w:bottom w:val="nil"/>
              <w:right w:val="nil"/>
            </w:tcBorders>
            <w:shd w:val="clear" w:color="000000" w:fill="FFFFFF"/>
            <w:noWrap/>
            <w:vAlign w:val="bottom"/>
            <w:hideMark/>
          </w:tcPr>
          <w:p w14:paraId="60ABBF1E" w14:textId="24D8C4ED" w:rsidR="00EC5B27" w:rsidRPr="005805E3" w:rsidRDefault="00EC5B27" w:rsidP="005004D1">
            <w:pPr>
              <w:spacing w:after="0" w:line="240" w:lineRule="auto"/>
              <w:jc w:val="center"/>
              <w:rPr>
                <w:rFonts w:eastAsia="Times New Roman" w:cs="Calibri"/>
                <w:b/>
                <w:bCs/>
                <w:color w:val="000000"/>
                <w:sz w:val="14"/>
                <w:szCs w:val="14"/>
                <w:lang w:eastAsia="es-ES"/>
              </w:rPr>
            </w:pPr>
            <w:r>
              <w:rPr>
                <w:rFonts w:eastAsia="Times New Roman" w:cs="Calibri"/>
                <w:color w:val="000000"/>
                <w:sz w:val="14"/>
                <w:szCs w:val="14"/>
                <w:lang w:eastAsia="es-ES"/>
              </w:rPr>
              <w:t>1.943</w:t>
            </w:r>
          </w:p>
        </w:tc>
        <w:tc>
          <w:tcPr>
            <w:tcW w:w="566" w:type="dxa"/>
            <w:tcBorders>
              <w:top w:val="nil"/>
              <w:left w:val="nil"/>
              <w:bottom w:val="nil"/>
              <w:right w:val="nil"/>
            </w:tcBorders>
            <w:shd w:val="clear" w:color="000000" w:fill="FFFFFF"/>
            <w:noWrap/>
            <w:vAlign w:val="bottom"/>
            <w:hideMark/>
          </w:tcPr>
          <w:p w14:paraId="37CFD2AB" w14:textId="5B628246" w:rsidR="00EC5B27" w:rsidRPr="005805E3" w:rsidRDefault="00EC5B27" w:rsidP="005004D1">
            <w:pPr>
              <w:spacing w:after="0" w:line="240" w:lineRule="auto"/>
              <w:jc w:val="center"/>
              <w:rPr>
                <w:rFonts w:eastAsia="Times New Roman" w:cs="Calibri"/>
                <w:b/>
                <w:bCs/>
                <w:color w:val="000000"/>
                <w:sz w:val="14"/>
                <w:szCs w:val="14"/>
                <w:lang w:eastAsia="es-ES"/>
              </w:rPr>
            </w:pPr>
            <w:r>
              <w:rPr>
                <w:rFonts w:eastAsia="Times New Roman" w:cs="Calibri"/>
                <w:color w:val="000000"/>
                <w:sz w:val="14"/>
                <w:szCs w:val="14"/>
                <w:lang w:eastAsia="es-ES"/>
              </w:rPr>
              <w:t>32</w:t>
            </w:r>
            <w:r w:rsidRPr="005805E3">
              <w:rPr>
                <w:rFonts w:eastAsia="Times New Roman" w:cs="Calibri"/>
                <w:color w:val="000000"/>
                <w:sz w:val="14"/>
                <w:szCs w:val="14"/>
                <w:lang w:eastAsia="es-ES"/>
              </w:rPr>
              <w:t>%</w:t>
            </w:r>
          </w:p>
        </w:tc>
      </w:tr>
      <w:tr w:rsidR="00EC5B27" w:rsidRPr="005805E3" w14:paraId="14D6FC6D" w14:textId="77777777" w:rsidTr="005004D1">
        <w:trPr>
          <w:trHeight w:val="293"/>
        </w:trPr>
        <w:tc>
          <w:tcPr>
            <w:tcW w:w="3381" w:type="dxa"/>
            <w:tcBorders>
              <w:top w:val="nil"/>
              <w:left w:val="nil"/>
              <w:bottom w:val="nil"/>
              <w:right w:val="nil"/>
            </w:tcBorders>
            <w:shd w:val="clear" w:color="auto" w:fill="auto"/>
            <w:noWrap/>
            <w:vAlign w:val="bottom"/>
            <w:hideMark/>
          </w:tcPr>
          <w:p w14:paraId="18B70FD0" w14:textId="638881D2" w:rsidR="00EC5B27" w:rsidRPr="005805E3" w:rsidRDefault="00EC5B27" w:rsidP="005004D1">
            <w:pPr>
              <w:spacing w:after="0" w:line="240" w:lineRule="auto"/>
              <w:rPr>
                <w:rFonts w:eastAsia="Times New Roman" w:cs="Calibri"/>
                <w:color w:val="000000"/>
                <w:sz w:val="14"/>
                <w:szCs w:val="14"/>
                <w:lang w:eastAsia="es-ES"/>
              </w:rPr>
            </w:pPr>
            <w:r w:rsidRPr="005805E3">
              <w:rPr>
                <w:rFonts w:eastAsia="Times New Roman" w:cs="Calibri"/>
                <w:color w:val="000000"/>
                <w:sz w:val="14"/>
                <w:szCs w:val="14"/>
                <w:lang w:eastAsia="es-ES"/>
              </w:rPr>
              <w:t>Publicidad, propaganda y relaciones públicas</w:t>
            </w:r>
          </w:p>
        </w:tc>
        <w:tc>
          <w:tcPr>
            <w:tcW w:w="940" w:type="dxa"/>
            <w:tcBorders>
              <w:top w:val="nil"/>
              <w:left w:val="nil"/>
              <w:bottom w:val="nil"/>
              <w:right w:val="nil"/>
            </w:tcBorders>
            <w:shd w:val="clear" w:color="auto" w:fill="auto"/>
            <w:noWrap/>
            <w:vAlign w:val="center"/>
            <w:hideMark/>
          </w:tcPr>
          <w:p w14:paraId="41E66C57" w14:textId="3D51392D" w:rsidR="00EC5B27" w:rsidRPr="005805E3" w:rsidRDefault="00EC5B27" w:rsidP="00EC5B27">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627</w:t>
            </w:r>
          </w:p>
        </w:tc>
        <w:tc>
          <w:tcPr>
            <w:tcW w:w="1208" w:type="dxa"/>
            <w:tcBorders>
              <w:top w:val="nil"/>
              <w:left w:val="nil"/>
              <w:bottom w:val="nil"/>
              <w:right w:val="nil"/>
            </w:tcBorders>
            <w:shd w:val="clear" w:color="auto" w:fill="auto"/>
            <w:noWrap/>
            <w:vAlign w:val="bottom"/>
            <w:hideMark/>
          </w:tcPr>
          <w:p w14:paraId="3FD70DE9" w14:textId="79B75D79" w:rsidR="00EC5B27" w:rsidRPr="005805E3" w:rsidRDefault="00EC5B27" w:rsidP="005004D1">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Pr>
                <w:rFonts w:eastAsia="Times New Roman" w:cs="Calibri"/>
                <w:sz w:val="14"/>
                <w:szCs w:val="14"/>
                <w:lang w:eastAsia="es-ES"/>
              </w:rPr>
              <w:t>1.146.601</w:t>
            </w:r>
            <w:r w:rsidRPr="005805E3">
              <w:rPr>
                <w:rFonts w:eastAsia="Times New Roman" w:cs="Calibri"/>
                <w:sz w:val="14"/>
                <w:szCs w:val="14"/>
                <w:lang w:eastAsia="es-ES"/>
              </w:rPr>
              <w:t>)</w:t>
            </w:r>
          </w:p>
        </w:tc>
        <w:tc>
          <w:tcPr>
            <w:tcW w:w="1275" w:type="dxa"/>
            <w:tcBorders>
              <w:top w:val="nil"/>
              <w:left w:val="nil"/>
              <w:bottom w:val="nil"/>
              <w:right w:val="nil"/>
            </w:tcBorders>
            <w:shd w:val="clear" w:color="auto" w:fill="auto"/>
            <w:noWrap/>
            <w:vAlign w:val="bottom"/>
            <w:hideMark/>
          </w:tcPr>
          <w:p w14:paraId="383D8859" w14:textId="72D68511" w:rsidR="00EC5B27" w:rsidRPr="005805E3" w:rsidRDefault="00EC5B27" w:rsidP="005004D1">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Pr>
                <w:rFonts w:eastAsia="Times New Roman" w:cs="Calibri"/>
                <w:sz w:val="14"/>
                <w:szCs w:val="14"/>
                <w:lang w:eastAsia="es-ES"/>
              </w:rPr>
              <w:t>1.</w:t>
            </w:r>
            <w:r w:rsidR="003D0D0D">
              <w:rPr>
                <w:rFonts w:eastAsia="Times New Roman" w:cs="Calibri"/>
                <w:sz w:val="14"/>
                <w:szCs w:val="14"/>
                <w:lang w:eastAsia="es-ES"/>
              </w:rPr>
              <w:t>666</w:t>
            </w:r>
            <w:r>
              <w:rPr>
                <w:rFonts w:eastAsia="Times New Roman" w:cs="Calibri"/>
                <w:sz w:val="14"/>
                <w:szCs w:val="14"/>
                <w:lang w:eastAsia="es-ES"/>
              </w:rPr>
              <w:t>.258</w:t>
            </w:r>
            <w:r w:rsidRPr="005805E3">
              <w:rPr>
                <w:rFonts w:eastAsia="Times New Roman" w:cs="Calibri"/>
                <w:sz w:val="14"/>
                <w:szCs w:val="14"/>
                <w:lang w:eastAsia="es-ES"/>
              </w:rPr>
              <w:t>)</w:t>
            </w:r>
          </w:p>
        </w:tc>
        <w:tc>
          <w:tcPr>
            <w:tcW w:w="1134" w:type="dxa"/>
            <w:tcBorders>
              <w:top w:val="nil"/>
              <w:left w:val="nil"/>
              <w:bottom w:val="nil"/>
              <w:right w:val="nil"/>
            </w:tcBorders>
            <w:shd w:val="clear" w:color="000000" w:fill="FFFFFF"/>
            <w:noWrap/>
            <w:vAlign w:val="bottom"/>
            <w:hideMark/>
          </w:tcPr>
          <w:p w14:paraId="2BA49CF8" w14:textId="7760609F" w:rsidR="00EC5B27" w:rsidRPr="005805E3" w:rsidRDefault="003D0D0D" w:rsidP="005004D1">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519</w:t>
            </w:r>
            <w:r w:rsidR="00EC5B27">
              <w:rPr>
                <w:rFonts w:eastAsia="Times New Roman" w:cs="Calibri"/>
                <w:color w:val="000000"/>
                <w:sz w:val="14"/>
                <w:szCs w:val="14"/>
                <w:lang w:eastAsia="es-ES"/>
              </w:rPr>
              <w:t>.657</w:t>
            </w:r>
          </w:p>
        </w:tc>
        <w:tc>
          <w:tcPr>
            <w:tcW w:w="566" w:type="dxa"/>
            <w:tcBorders>
              <w:top w:val="nil"/>
              <w:left w:val="nil"/>
              <w:bottom w:val="nil"/>
              <w:right w:val="nil"/>
            </w:tcBorders>
            <w:shd w:val="clear" w:color="000000" w:fill="FFFFFF"/>
            <w:noWrap/>
            <w:vAlign w:val="bottom"/>
            <w:hideMark/>
          </w:tcPr>
          <w:p w14:paraId="65269961" w14:textId="26857A6C" w:rsidR="00EC5B27" w:rsidRPr="005805E3" w:rsidRDefault="003D0D0D" w:rsidP="005004D1">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45</w:t>
            </w:r>
            <w:r w:rsidR="00EC5B27" w:rsidRPr="005805E3">
              <w:rPr>
                <w:rFonts w:eastAsia="Times New Roman" w:cs="Calibri"/>
                <w:color w:val="000000"/>
                <w:sz w:val="14"/>
                <w:szCs w:val="14"/>
                <w:lang w:eastAsia="es-ES"/>
              </w:rPr>
              <w:t>%</w:t>
            </w:r>
          </w:p>
        </w:tc>
      </w:tr>
      <w:tr w:rsidR="00EC5B27" w:rsidRPr="005805E3" w14:paraId="25ADE097" w14:textId="77777777" w:rsidTr="005004D1">
        <w:trPr>
          <w:trHeight w:val="293"/>
        </w:trPr>
        <w:tc>
          <w:tcPr>
            <w:tcW w:w="3381" w:type="dxa"/>
            <w:tcBorders>
              <w:top w:val="nil"/>
              <w:left w:val="nil"/>
              <w:bottom w:val="nil"/>
              <w:right w:val="nil"/>
            </w:tcBorders>
            <w:shd w:val="clear" w:color="auto" w:fill="auto"/>
            <w:noWrap/>
            <w:vAlign w:val="bottom"/>
            <w:hideMark/>
          </w:tcPr>
          <w:p w14:paraId="169EA170" w14:textId="598AAAE8" w:rsidR="00EC5B27" w:rsidRPr="005805E3" w:rsidRDefault="00EC5B27" w:rsidP="005004D1">
            <w:pPr>
              <w:spacing w:after="0" w:line="240" w:lineRule="auto"/>
              <w:rPr>
                <w:rFonts w:eastAsia="Times New Roman" w:cs="Calibri"/>
                <w:color w:val="000000"/>
                <w:sz w:val="14"/>
                <w:szCs w:val="14"/>
                <w:lang w:eastAsia="es-ES"/>
              </w:rPr>
            </w:pPr>
            <w:r w:rsidRPr="005805E3">
              <w:rPr>
                <w:rFonts w:eastAsia="Times New Roman" w:cs="Calibri"/>
                <w:color w:val="000000"/>
                <w:sz w:val="14"/>
                <w:szCs w:val="14"/>
                <w:lang w:eastAsia="es-ES"/>
              </w:rPr>
              <w:t>Suministros</w:t>
            </w:r>
          </w:p>
        </w:tc>
        <w:tc>
          <w:tcPr>
            <w:tcW w:w="940" w:type="dxa"/>
            <w:tcBorders>
              <w:top w:val="nil"/>
              <w:left w:val="nil"/>
              <w:bottom w:val="nil"/>
              <w:right w:val="nil"/>
            </w:tcBorders>
            <w:shd w:val="clear" w:color="auto" w:fill="auto"/>
            <w:noWrap/>
            <w:vAlign w:val="center"/>
            <w:hideMark/>
          </w:tcPr>
          <w:p w14:paraId="5EA4163C" w14:textId="13F92B7C" w:rsidR="00EC5B27" w:rsidRPr="005805E3" w:rsidRDefault="00EC5B27" w:rsidP="00EC5B27">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628</w:t>
            </w:r>
          </w:p>
        </w:tc>
        <w:tc>
          <w:tcPr>
            <w:tcW w:w="1208" w:type="dxa"/>
            <w:tcBorders>
              <w:top w:val="nil"/>
              <w:left w:val="nil"/>
              <w:bottom w:val="nil"/>
              <w:right w:val="nil"/>
            </w:tcBorders>
            <w:shd w:val="clear" w:color="auto" w:fill="auto"/>
            <w:noWrap/>
            <w:vAlign w:val="bottom"/>
            <w:hideMark/>
          </w:tcPr>
          <w:p w14:paraId="57F5DFC0" w14:textId="51F49856" w:rsidR="00EC5B27" w:rsidRPr="005805E3" w:rsidRDefault="00EC5B27" w:rsidP="005004D1">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Pr>
                <w:rFonts w:eastAsia="Times New Roman" w:cs="Calibri"/>
                <w:sz w:val="14"/>
                <w:szCs w:val="14"/>
                <w:lang w:eastAsia="es-ES"/>
              </w:rPr>
              <w:t>64.537</w:t>
            </w:r>
            <w:r w:rsidRPr="005805E3">
              <w:rPr>
                <w:rFonts w:eastAsia="Times New Roman" w:cs="Calibri"/>
                <w:sz w:val="14"/>
                <w:szCs w:val="14"/>
                <w:lang w:eastAsia="es-ES"/>
              </w:rPr>
              <w:t>)</w:t>
            </w:r>
          </w:p>
        </w:tc>
        <w:tc>
          <w:tcPr>
            <w:tcW w:w="1275" w:type="dxa"/>
            <w:tcBorders>
              <w:top w:val="nil"/>
              <w:left w:val="nil"/>
              <w:bottom w:val="nil"/>
              <w:right w:val="nil"/>
            </w:tcBorders>
            <w:shd w:val="clear" w:color="auto" w:fill="auto"/>
            <w:noWrap/>
            <w:vAlign w:val="bottom"/>
            <w:hideMark/>
          </w:tcPr>
          <w:p w14:paraId="0E95AE6E" w14:textId="19848645" w:rsidR="00EC5B27" w:rsidRPr="005805E3" w:rsidRDefault="00EC5B27" w:rsidP="005004D1">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Pr>
                <w:rFonts w:eastAsia="Times New Roman" w:cs="Calibri"/>
                <w:sz w:val="14"/>
                <w:szCs w:val="14"/>
                <w:lang w:eastAsia="es-ES"/>
              </w:rPr>
              <w:t>64.054</w:t>
            </w:r>
            <w:r w:rsidRPr="005805E3">
              <w:rPr>
                <w:rFonts w:eastAsia="Times New Roman" w:cs="Calibri"/>
                <w:sz w:val="14"/>
                <w:szCs w:val="14"/>
                <w:lang w:eastAsia="es-ES"/>
              </w:rPr>
              <w:t>)</w:t>
            </w:r>
          </w:p>
        </w:tc>
        <w:tc>
          <w:tcPr>
            <w:tcW w:w="1134" w:type="dxa"/>
            <w:tcBorders>
              <w:top w:val="nil"/>
              <w:left w:val="nil"/>
              <w:bottom w:val="nil"/>
              <w:right w:val="nil"/>
            </w:tcBorders>
            <w:shd w:val="clear" w:color="000000" w:fill="FFFFFF"/>
            <w:noWrap/>
            <w:vAlign w:val="bottom"/>
            <w:hideMark/>
          </w:tcPr>
          <w:p w14:paraId="1F517819" w14:textId="3B5B971D" w:rsidR="00EC5B27" w:rsidRPr="005805E3" w:rsidRDefault="00EC5B27" w:rsidP="005004D1">
            <w:pPr>
              <w:spacing w:after="0" w:line="240" w:lineRule="auto"/>
              <w:jc w:val="center"/>
              <w:rPr>
                <w:rFonts w:eastAsia="Times New Roman" w:cs="Calibri"/>
                <w:color w:val="000000"/>
                <w:sz w:val="14"/>
                <w:szCs w:val="14"/>
                <w:lang w:eastAsia="es-ES"/>
              </w:rPr>
            </w:pPr>
            <w:r w:rsidRPr="005805E3">
              <w:rPr>
                <w:rFonts w:eastAsia="Times New Roman" w:cs="Calibri"/>
                <w:color w:val="000000"/>
                <w:sz w:val="14"/>
                <w:szCs w:val="14"/>
                <w:lang w:eastAsia="es-ES"/>
              </w:rPr>
              <w:t>(</w:t>
            </w:r>
            <w:r>
              <w:rPr>
                <w:rFonts w:eastAsia="Times New Roman" w:cs="Calibri"/>
                <w:color w:val="000000"/>
                <w:sz w:val="14"/>
                <w:szCs w:val="14"/>
                <w:lang w:eastAsia="es-ES"/>
              </w:rPr>
              <w:t>483</w:t>
            </w:r>
            <w:r w:rsidRPr="005805E3">
              <w:rPr>
                <w:rFonts w:eastAsia="Times New Roman" w:cs="Calibri"/>
                <w:color w:val="000000"/>
                <w:sz w:val="14"/>
                <w:szCs w:val="14"/>
                <w:lang w:eastAsia="es-ES"/>
              </w:rPr>
              <w:t>)</w:t>
            </w:r>
          </w:p>
        </w:tc>
        <w:tc>
          <w:tcPr>
            <w:tcW w:w="566" w:type="dxa"/>
            <w:tcBorders>
              <w:top w:val="nil"/>
              <w:left w:val="nil"/>
              <w:bottom w:val="nil"/>
              <w:right w:val="nil"/>
            </w:tcBorders>
            <w:shd w:val="clear" w:color="000000" w:fill="FFFFFF"/>
            <w:noWrap/>
            <w:vAlign w:val="bottom"/>
            <w:hideMark/>
          </w:tcPr>
          <w:p w14:paraId="13790B29" w14:textId="5D900B8D" w:rsidR="00EC5B27" w:rsidRPr="005805E3" w:rsidRDefault="00EC5B27" w:rsidP="005004D1">
            <w:pPr>
              <w:spacing w:after="0" w:line="240" w:lineRule="auto"/>
              <w:jc w:val="center"/>
              <w:rPr>
                <w:rFonts w:eastAsia="Times New Roman" w:cs="Calibri"/>
                <w:color w:val="000000"/>
                <w:sz w:val="14"/>
                <w:szCs w:val="14"/>
                <w:lang w:eastAsia="es-ES"/>
              </w:rPr>
            </w:pPr>
            <w:r w:rsidRPr="005805E3">
              <w:rPr>
                <w:rFonts w:eastAsia="Times New Roman" w:cs="Calibri"/>
                <w:color w:val="000000"/>
                <w:sz w:val="14"/>
                <w:szCs w:val="14"/>
                <w:lang w:eastAsia="es-ES"/>
              </w:rPr>
              <w:t>-</w:t>
            </w:r>
            <w:r>
              <w:rPr>
                <w:rFonts w:eastAsia="Times New Roman" w:cs="Calibri"/>
                <w:color w:val="000000"/>
                <w:sz w:val="14"/>
                <w:szCs w:val="14"/>
                <w:lang w:eastAsia="es-ES"/>
              </w:rPr>
              <w:t>1</w:t>
            </w:r>
            <w:r w:rsidRPr="005805E3">
              <w:rPr>
                <w:rFonts w:eastAsia="Times New Roman" w:cs="Calibri"/>
                <w:color w:val="000000"/>
                <w:sz w:val="14"/>
                <w:szCs w:val="14"/>
                <w:lang w:eastAsia="es-ES"/>
              </w:rPr>
              <w:t>%</w:t>
            </w:r>
          </w:p>
        </w:tc>
      </w:tr>
      <w:tr w:rsidR="00EC5B27" w:rsidRPr="005805E3" w14:paraId="6A3E1285" w14:textId="77777777" w:rsidTr="005004D1">
        <w:trPr>
          <w:trHeight w:val="293"/>
        </w:trPr>
        <w:tc>
          <w:tcPr>
            <w:tcW w:w="3381" w:type="dxa"/>
            <w:tcBorders>
              <w:top w:val="nil"/>
              <w:left w:val="nil"/>
              <w:bottom w:val="nil"/>
              <w:right w:val="nil"/>
            </w:tcBorders>
            <w:shd w:val="clear" w:color="auto" w:fill="auto"/>
            <w:noWrap/>
            <w:vAlign w:val="bottom"/>
            <w:hideMark/>
          </w:tcPr>
          <w:p w14:paraId="1A8DB947" w14:textId="045CCF70" w:rsidR="00EC5B27" w:rsidRPr="005805E3" w:rsidRDefault="00EC5B27" w:rsidP="005004D1">
            <w:pPr>
              <w:spacing w:after="0" w:line="240" w:lineRule="auto"/>
              <w:rPr>
                <w:rFonts w:eastAsia="Times New Roman" w:cs="Calibri"/>
                <w:color w:val="000000"/>
                <w:sz w:val="14"/>
                <w:szCs w:val="14"/>
                <w:lang w:eastAsia="es-ES"/>
              </w:rPr>
            </w:pPr>
            <w:r w:rsidRPr="005805E3">
              <w:rPr>
                <w:rFonts w:eastAsia="Times New Roman" w:cs="Calibri"/>
                <w:color w:val="000000"/>
                <w:sz w:val="14"/>
                <w:szCs w:val="14"/>
                <w:lang w:eastAsia="es-ES"/>
              </w:rPr>
              <w:t>Otros servicios</w:t>
            </w:r>
          </w:p>
        </w:tc>
        <w:tc>
          <w:tcPr>
            <w:tcW w:w="940" w:type="dxa"/>
            <w:tcBorders>
              <w:top w:val="nil"/>
              <w:left w:val="nil"/>
              <w:bottom w:val="nil"/>
              <w:right w:val="nil"/>
            </w:tcBorders>
            <w:shd w:val="clear" w:color="auto" w:fill="auto"/>
            <w:noWrap/>
            <w:vAlign w:val="center"/>
            <w:hideMark/>
          </w:tcPr>
          <w:p w14:paraId="4A09AA04" w14:textId="377B3496" w:rsidR="00EC5B27" w:rsidRPr="005805E3" w:rsidRDefault="00EC5B27" w:rsidP="00EC5B27">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629</w:t>
            </w:r>
          </w:p>
        </w:tc>
        <w:tc>
          <w:tcPr>
            <w:tcW w:w="1208" w:type="dxa"/>
            <w:tcBorders>
              <w:top w:val="nil"/>
              <w:left w:val="nil"/>
              <w:bottom w:val="nil"/>
              <w:right w:val="nil"/>
            </w:tcBorders>
            <w:shd w:val="clear" w:color="auto" w:fill="auto"/>
            <w:noWrap/>
            <w:vAlign w:val="bottom"/>
            <w:hideMark/>
          </w:tcPr>
          <w:p w14:paraId="6FCC3165" w14:textId="05B7EFDE" w:rsidR="00EC5B27" w:rsidRPr="005805E3" w:rsidRDefault="00EC5B27" w:rsidP="005004D1">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Pr>
                <w:rFonts w:eastAsia="Times New Roman" w:cs="Calibri"/>
                <w:sz w:val="14"/>
                <w:szCs w:val="14"/>
                <w:lang w:eastAsia="es-ES"/>
              </w:rPr>
              <w:t>405.246</w:t>
            </w:r>
            <w:r w:rsidRPr="005805E3">
              <w:rPr>
                <w:rFonts w:eastAsia="Times New Roman" w:cs="Calibri"/>
                <w:sz w:val="14"/>
                <w:szCs w:val="14"/>
                <w:lang w:eastAsia="es-ES"/>
              </w:rPr>
              <w:t>)</w:t>
            </w:r>
          </w:p>
        </w:tc>
        <w:tc>
          <w:tcPr>
            <w:tcW w:w="1275" w:type="dxa"/>
            <w:tcBorders>
              <w:top w:val="nil"/>
              <w:left w:val="nil"/>
              <w:bottom w:val="nil"/>
              <w:right w:val="nil"/>
            </w:tcBorders>
            <w:shd w:val="clear" w:color="auto" w:fill="auto"/>
            <w:noWrap/>
            <w:vAlign w:val="bottom"/>
            <w:hideMark/>
          </w:tcPr>
          <w:p w14:paraId="078FD6A6" w14:textId="65DA2EA9" w:rsidR="00EC5B27" w:rsidRPr="005805E3" w:rsidRDefault="00EC5B27" w:rsidP="005004D1">
            <w:pPr>
              <w:spacing w:after="0" w:line="240" w:lineRule="auto"/>
              <w:jc w:val="center"/>
              <w:rPr>
                <w:rFonts w:eastAsia="Times New Roman" w:cs="Calibri"/>
                <w:sz w:val="14"/>
                <w:szCs w:val="14"/>
                <w:lang w:eastAsia="es-ES"/>
              </w:rPr>
            </w:pPr>
            <w:r w:rsidRPr="005805E3">
              <w:rPr>
                <w:rFonts w:eastAsia="Times New Roman" w:cs="Calibri"/>
                <w:sz w:val="14"/>
                <w:szCs w:val="14"/>
                <w:lang w:eastAsia="es-ES"/>
              </w:rPr>
              <w:t>(</w:t>
            </w:r>
            <w:r>
              <w:rPr>
                <w:rFonts w:eastAsia="Times New Roman" w:cs="Calibri"/>
                <w:sz w:val="14"/>
                <w:szCs w:val="14"/>
                <w:lang w:eastAsia="es-ES"/>
              </w:rPr>
              <w:t>1.077.613</w:t>
            </w:r>
            <w:r w:rsidRPr="005805E3">
              <w:rPr>
                <w:rFonts w:eastAsia="Times New Roman" w:cs="Calibri"/>
                <w:sz w:val="14"/>
                <w:szCs w:val="14"/>
                <w:lang w:eastAsia="es-ES"/>
              </w:rPr>
              <w:t>)</w:t>
            </w:r>
          </w:p>
        </w:tc>
        <w:tc>
          <w:tcPr>
            <w:tcW w:w="1134" w:type="dxa"/>
            <w:tcBorders>
              <w:top w:val="nil"/>
              <w:left w:val="nil"/>
              <w:bottom w:val="nil"/>
              <w:right w:val="nil"/>
            </w:tcBorders>
            <w:shd w:val="clear" w:color="000000" w:fill="FFFFFF"/>
            <w:noWrap/>
            <w:vAlign w:val="bottom"/>
            <w:hideMark/>
          </w:tcPr>
          <w:p w14:paraId="342A4199" w14:textId="024AB670" w:rsidR="00EC5B27" w:rsidRPr="005805E3" w:rsidRDefault="00EC5B27" w:rsidP="005004D1">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672.367</w:t>
            </w:r>
          </w:p>
        </w:tc>
        <w:tc>
          <w:tcPr>
            <w:tcW w:w="566" w:type="dxa"/>
            <w:tcBorders>
              <w:top w:val="nil"/>
              <w:left w:val="nil"/>
              <w:bottom w:val="nil"/>
              <w:right w:val="nil"/>
            </w:tcBorders>
            <w:shd w:val="clear" w:color="000000" w:fill="FFFFFF"/>
            <w:noWrap/>
            <w:vAlign w:val="bottom"/>
            <w:hideMark/>
          </w:tcPr>
          <w:p w14:paraId="54235343" w14:textId="125524A9" w:rsidR="00EC5B27" w:rsidRPr="005805E3" w:rsidRDefault="00EC5B27" w:rsidP="005004D1">
            <w:pPr>
              <w:spacing w:after="0" w:line="240" w:lineRule="auto"/>
              <w:jc w:val="center"/>
              <w:rPr>
                <w:rFonts w:eastAsia="Times New Roman" w:cs="Calibri"/>
                <w:color w:val="000000"/>
                <w:sz w:val="14"/>
                <w:szCs w:val="14"/>
                <w:lang w:eastAsia="es-ES"/>
              </w:rPr>
            </w:pPr>
            <w:r>
              <w:rPr>
                <w:rFonts w:eastAsia="Times New Roman" w:cs="Calibri"/>
                <w:color w:val="000000"/>
                <w:sz w:val="14"/>
                <w:szCs w:val="14"/>
                <w:lang w:eastAsia="es-ES"/>
              </w:rPr>
              <w:t>166</w:t>
            </w:r>
            <w:r w:rsidRPr="005805E3">
              <w:rPr>
                <w:rFonts w:eastAsia="Times New Roman" w:cs="Calibri"/>
                <w:color w:val="000000"/>
                <w:sz w:val="14"/>
                <w:szCs w:val="14"/>
                <w:lang w:eastAsia="es-ES"/>
              </w:rPr>
              <w:t>%</w:t>
            </w:r>
          </w:p>
        </w:tc>
      </w:tr>
      <w:tr w:rsidR="00EC5B27" w:rsidRPr="005805E3" w14:paraId="182307DD" w14:textId="77777777" w:rsidTr="005004D1">
        <w:trPr>
          <w:trHeight w:val="293"/>
        </w:trPr>
        <w:tc>
          <w:tcPr>
            <w:tcW w:w="3381" w:type="dxa"/>
            <w:tcBorders>
              <w:top w:val="nil"/>
              <w:left w:val="nil"/>
              <w:bottom w:val="nil"/>
              <w:right w:val="nil"/>
            </w:tcBorders>
            <w:shd w:val="clear" w:color="auto" w:fill="auto"/>
            <w:noWrap/>
            <w:vAlign w:val="bottom"/>
            <w:hideMark/>
          </w:tcPr>
          <w:p w14:paraId="6A5968B5" w14:textId="3CF588AE" w:rsidR="00EC5B27" w:rsidRPr="005805E3" w:rsidRDefault="00EC5B27" w:rsidP="005004D1">
            <w:pPr>
              <w:spacing w:after="0" w:line="240" w:lineRule="auto"/>
              <w:rPr>
                <w:rFonts w:eastAsia="Times New Roman" w:cs="Calibri"/>
                <w:color w:val="000000"/>
                <w:sz w:val="14"/>
                <w:szCs w:val="14"/>
                <w:lang w:eastAsia="es-ES"/>
              </w:rPr>
            </w:pPr>
            <w:r w:rsidRPr="005805E3">
              <w:rPr>
                <w:rFonts w:eastAsia="Times New Roman" w:cs="Calibri"/>
                <w:b/>
                <w:bCs/>
                <w:color w:val="000000"/>
                <w:sz w:val="14"/>
                <w:szCs w:val="14"/>
                <w:lang w:eastAsia="es-ES"/>
              </w:rPr>
              <w:t xml:space="preserve">   Tributos</w:t>
            </w:r>
          </w:p>
        </w:tc>
        <w:tc>
          <w:tcPr>
            <w:tcW w:w="940" w:type="dxa"/>
            <w:tcBorders>
              <w:top w:val="nil"/>
              <w:left w:val="nil"/>
              <w:bottom w:val="nil"/>
              <w:right w:val="nil"/>
            </w:tcBorders>
            <w:shd w:val="clear" w:color="auto" w:fill="auto"/>
            <w:noWrap/>
            <w:vAlign w:val="center"/>
            <w:hideMark/>
          </w:tcPr>
          <w:p w14:paraId="0312D348" w14:textId="57549F21" w:rsidR="00EC5B27" w:rsidRPr="005805E3" w:rsidRDefault="00EC5B27" w:rsidP="00EC5B27">
            <w:pPr>
              <w:spacing w:after="0" w:line="240" w:lineRule="auto"/>
              <w:jc w:val="center"/>
              <w:rPr>
                <w:rFonts w:eastAsia="Times New Roman" w:cs="Calibri"/>
                <w:b/>
                <w:bCs/>
                <w:sz w:val="14"/>
                <w:szCs w:val="14"/>
                <w:lang w:eastAsia="es-ES"/>
              </w:rPr>
            </w:pPr>
            <w:r w:rsidRPr="005805E3">
              <w:rPr>
                <w:rFonts w:eastAsia="Times New Roman" w:cs="Calibri"/>
                <w:b/>
                <w:bCs/>
                <w:sz w:val="14"/>
                <w:szCs w:val="14"/>
                <w:lang w:eastAsia="es-ES"/>
              </w:rPr>
              <w:t>631</w:t>
            </w:r>
          </w:p>
        </w:tc>
        <w:tc>
          <w:tcPr>
            <w:tcW w:w="1208" w:type="dxa"/>
            <w:tcBorders>
              <w:top w:val="nil"/>
              <w:left w:val="nil"/>
              <w:bottom w:val="nil"/>
              <w:right w:val="nil"/>
            </w:tcBorders>
            <w:shd w:val="clear" w:color="auto" w:fill="auto"/>
            <w:noWrap/>
            <w:vAlign w:val="bottom"/>
            <w:hideMark/>
          </w:tcPr>
          <w:p w14:paraId="04401760" w14:textId="42B2B481" w:rsidR="00EC5B27" w:rsidRPr="005805E3" w:rsidRDefault="00EC5B27" w:rsidP="005004D1">
            <w:pPr>
              <w:spacing w:after="0" w:line="240" w:lineRule="auto"/>
              <w:jc w:val="center"/>
              <w:rPr>
                <w:rFonts w:eastAsia="Times New Roman" w:cs="Calibri"/>
                <w:sz w:val="14"/>
                <w:szCs w:val="14"/>
                <w:lang w:eastAsia="es-ES"/>
              </w:rPr>
            </w:pPr>
            <w:r w:rsidRPr="005805E3">
              <w:rPr>
                <w:rFonts w:eastAsia="Times New Roman" w:cs="Calibri"/>
                <w:b/>
                <w:bCs/>
                <w:sz w:val="14"/>
                <w:szCs w:val="14"/>
                <w:lang w:eastAsia="es-ES"/>
              </w:rPr>
              <w:t>(</w:t>
            </w:r>
            <w:r>
              <w:rPr>
                <w:rFonts w:eastAsia="Times New Roman" w:cs="Calibri"/>
                <w:b/>
                <w:bCs/>
                <w:sz w:val="14"/>
                <w:szCs w:val="14"/>
                <w:lang w:eastAsia="es-ES"/>
              </w:rPr>
              <w:t>2.794</w:t>
            </w:r>
            <w:r w:rsidRPr="005805E3">
              <w:rPr>
                <w:rFonts w:eastAsia="Times New Roman" w:cs="Calibri"/>
                <w:b/>
                <w:bCs/>
                <w:sz w:val="14"/>
                <w:szCs w:val="14"/>
                <w:lang w:eastAsia="es-ES"/>
              </w:rPr>
              <w:t>)</w:t>
            </w:r>
          </w:p>
        </w:tc>
        <w:tc>
          <w:tcPr>
            <w:tcW w:w="1275" w:type="dxa"/>
            <w:tcBorders>
              <w:top w:val="nil"/>
              <w:left w:val="nil"/>
              <w:bottom w:val="nil"/>
              <w:right w:val="nil"/>
            </w:tcBorders>
            <w:shd w:val="clear" w:color="auto" w:fill="auto"/>
            <w:noWrap/>
            <w:vAlign w:val="bottom"/>
            <w:hideMark/>
          </w:tcPr>
          <w:p w14:paraId="29CD636B" w14:textId="554D3BA8" w:rsidR="00EC5B27" w:rsidRPr="005805E3" w:rsidRDefault="00EC5B27" w:rsidP="005004D1">
            <w:pPr>
              <w:spacing w:after="0" w:line="240" w:lineRule="auto"/>
              <w:jc w:val="center"/>
              <w:rPr>
                <w:rFonts w:eastAsia="Times New Roman" w:cs="Calibri"/>
                <w:sz w:val="14"/>
                <w:szCs w:val="14"/>
                <w:lang w:eastAsia="es-ES"/>
              </w:rPr>
            </w:pPr>
            <w:r w:rsidRPr="005805E3">
              <w:rPr>
                <w:rFonts w:eastAsia="Times New Roman" w:cs="Calibri"/>
                <w:b/>
                <w:bCs/>
                <w:sz w:val="14"/>
                <w:szCs w:val="14"/>
                <w:lang w:eastAsia="es-ES"/>
              </w:rPr>
              <w:t>(</w:t>
            </w:r>
            <w:r>
              <w:rPr>
                <w:rFonts w:eastAsia="Times New Roman" w:cs="Calibri"/>
                <w:b/>
                <w:bCs/>
                <w:sz w:val="14"/>
                <w:szCs w:val="14"/>
                <w:lang w:eastAsia="es-ES"/>
              </w:rPr>
              <w:t>1.677</w:t>
            </w:r>
            <w:r w:rsidRPr="005805E3">
              <w:rPr>
                <w:rFonts w:eastAsia="Times New Roman" w:cs="Calibri"/>
                <w:b/>
                <w:bCs/>
                <w:sz w:val="14"/>
                <w:szCs w:val="14"/>
                <w:lang w:eastAsia="es-ES"/>
              </w:rPr>
              <w:t>)</w:t>
            </w:r>
          </w:p>
        </w:tc>
        <w:tc>
          <w:tcPr>
            <w:tcW w:w="1134" w:type="dxa"/>
            <w:tcBorders>
              <w:top w:val="nil"/>
              <w:left w:val="nil"/>
              <w:bottom w:val="nil"/>
              <w:right w:val="nil"/>
            </w:tcBorders>
            <w:shd w:val="clear" w:color="000000" w:fill="FFFFFF"/>
            <w:noWrap/>
            <w:vAlign w:val="bottom"/>
            <w:hideMark/>
          </w:tcPr>
          <w:p w14:paraId="476BCA6A" w14:textId="22C3BEC7" w:rsidR="00EC5B27" w:rsidRPr="005805E3" w:rsidRDefault="00EC5B27" w:rsidP="005004D1">
            <w:pPr>
              <w:spacing w:after="0" w:line="240" w:lineRule="auto"/>
              <w:jc w:val="center"/>
              <w:rPr>
                <w:rFonts w:eastAsia="Times New Roman" w:cs="Calibri"/>
                <w:color w:val="000000"/>
                <w:sz w:val="14"/>
                <w:szCs w:val="14"/>
                <w:lang w:eastAsia="es-ES"/>
              </w:rPr>
            </w:pPr>
            <w:r w:rsidRPr="005805E3">
              <w:rPr>
                <w:rFonts w:eastAsia="Times New Roman" w:cs="Calibri"/>
                <w:b/>
                <w:bCs/>
                <w:color w:val="000000"/>
                <w:sz w:val="14"/>
                <w:szCs w:val="14"/>
                <w:lang w:eastAsia="es-ES"/>
              </w:rPr>
              <w:t>(</w:t>
            </w:r>
            <w:r>
              <w:rPr>
                <w:rFonts w:eastAsia="Times New Roman" w:cs="Calibri"/>
                <w:b/>
                <w:bCs/>
                <w:color w:val="000000"/>
                <w:sz w:val="14"/>
                <w:szCs w:val="14"/>
                <w:lang w:eastAsia="es-ES"/>
              </w:rPr>
              <w:t>1.117</w:t>
            </w:r>
            <w:r w:rsidRPr="005805E3">
              <w:rPr>
                <w:rFonts w:eastAsia="Times New Roman" w:cs="Calibri"/>
                <w:b/>
                <w:bCs/>
                <w:color w:val="000000"/>
                <w:sz w:val="14"/>
                <w:szCs w:val="14"/>
                <w:lang w:eastAsia="es-ES"/>
              </w:rPr>
              <w:t>)</w:t>
            </w:r>
          </w:p>
        </w:tc>
        <w:tc>
          <w:tcPr>
            <w:tcW w:w="566" w:type="dxa"/>
            <w:tcBorders>
              <w:top w:val="nil"/>
              <w:left w:val="nil"/>
              <w:bottom w:val="nil"/>
              <w:right w:val="nil"/>
            </w:tcBorders>
            <w:shd w:val="clear" w:color="000000" w:fill="FFFFFF"/>
            <w:noWrap/>
            <w:vAlign w:val="bottom"/>
            <w:hideMark/>
          </w:tcPr>
          <w:p w14:paraId="0D412B33" w14:textId="5C1FA16A" w:rsidR="00EC5B27" w:rsidRPr="005805E3" w:rsidRDefault="00EC5B27" w:rsidP="005004D1">
            <w:pPr>
              <w:spacing w:after="0" w:line="240" w:lineRule="auto"/>
              <w:jc w:val="center"/>
              <w:rPr>
                <w:rFonts w:eastAsia="Times New Roman" w:cs="Calibri"/>
                <w:color w:val="000000"/>
                <w:sz w:val="14"/>
                <w:szCs w:val="14"/>
                <w:lang w:eastAsia="es-ES"/>
              </w:rPr>
            </w:pPr>
            <w:r>
              <w:rPr>
                <w:rFonts w:eastAsia="Times New Roman" w:cs="Calibri"/>
                <w:b/>
                <w:bCs/>
                <w:color w:val="000000"/>
                <w:sz w:val="14"/>
                <w:szCs w:val="14"/>
                <w:lang w:eastAsia="es-ES"/>
              </w:rPr>
              <w:t>-40</w:t>
            </w:r>
            <w:r w:rsidRPr="005805E3">
              <w:rPr>
                <w:rFonts w:eastAsia="Times New Roman" w:cs="Calibri"/>
                <w:b/>
                <w:bCs/>
                <w:color w:val="000000"/>
                <w:sz w:val="14"/>
                <w:szCs w:val="14"/>
                <w:lang w:eastAsia="es-ES"/>
              </w:rPr>
              <w:t>%</w:t>
            </w:r>
          </w:p>
        </w:tc>
      </w:tr>
      <w:tr w:rsidR="00EC5B27" w:rsidRPr="005805E3" w14:paraId="414EBB30" w14:textId="77777777" w:rsidTr="00526C4A">
        <w:trPr>
          <w:trHeight w:val="293"/>
        </w:trPr>
        <w:tc>
          <w:tcPr>
            <w:tcW w:w="3381" w:type="dxa"/>
            <w:tcBorders>
              <w:top w:val="nil"/>
              <w:left w:val="nil"/>
              <w:bottom w:val="nil"/>
              <w:right w:val="nil"/>
            </w:tcBorders>
            <w:shd w:val="clear" w:color="000000" w:fill="BFBFBF"/>
            <w:noWrap/>
            <w:vAlign w:val="bottom"/>
            <w:hideMark/>
          </w:tcPr>
          <w:p w14:paraId="12F175F1" w14:textId="0A214F19" w:rsidR="00EC5B27" w:rsidRPr="005805E3" w:rsidRDefault="00EC5B27" w:rsidP="005004D1">
            <w:pPr>
              <w:spacing w:after="0" w:line="240" w:lineRule="auto"/>
              <w:rPr>
                <w:rFonts w:eastAsia="Times New Roman" w:cs="Calibri"/>
                <w:color w:val="000000"/>
                <w:sz w:val="14"/>
                <w:szCs w:val="14"/>
                <w:lang w:eastAsia="es-ES"/>
              </w:rPr>
            </w:pPr>
            <w:r w:rsidRPr="005805E3">
              <w:rPr>
                <w:rFonts w:eastAsia="Times New Roman" w:cs="Calibri"/>
                <w:b/>
                <w:bCs/>
                <w:color w:val="000000"/>
                <w:sz w:val="14"/>
                <w:szCs w:val="14"/>
                <w:lang w:eastAsia="es-ES"/>
              </w:rPr>
              <w:t xml:space="preserve">9. Amortización del inmovilizado </w:t>
            </w:r>
          </w:p>
        </w:tc>
        <w:tc>
          <w:tcPr>
            <w:tcW w:w="940" w:type="dxa"/>
            <w:tcBorders>
              <w:top w:val="nil"/>
              <w:left w:val="nil"/>
              <w:bottom w:val="nil"/>
              <w:right w:val="nil"/>
            </w:tcBorders>
            <w:shd w:val="clear" w:color="000000" w:fill="BFBFBF"/>
            <w:noWrap/>
            <w:vAlign w:val="bottom"/>
            <w:hideMark/>
          </w:tcPr>
          <w:p w14:paraId="54464B0F" w14:textId="5CAA1A52" w:rsidR="00EC5B27" w:rsidRPr="005805E3" w:rsidRDefault="00EC5B27" w:rsidP="005004D1">
            <w:pPr>
              <w:spacing w:after="0" w:line="240" w:lineRule="auto"/>
              <w:jc w:val="center"/>
              <w:rPr>
                <w:rFonts w:eastAsia="Times New Roman" w:cs="Calibri"/>
                <w:b/>
                <w:bCs/>
                <w:sz w:val="14"/>
                <w:szCs w:val="14"/>
                <w:lang w:eastAsia="es-ES"/>
              </w:rPr>
            </w:pPr>
            <w:r w:rsidRPr="005805E3">
              <w:rPr>
                <w:rFonts w:eastAsia="Times New Roman" w:cs="Calibri"/>
                <w:b/>
                <w:bCs/>
                <w:color w:val="000000"/>
                <w:sz w:val="14"/>
                <w:szCs w:val="14"/>
                <w:lang w:eastAsia="es-ES"/>
              </w:rPr>
              <w:t> </w:t>
            </w:r>
          </w:p>
        </w:tc>
        <w:tc>
          <w:tcPr>
            <w:tcW w:w="1208" w:type="dxa"/>
            <w:tcBorders>
              <w:top w:val="nil"/>
              <w:left w:val="nil"/>
              <w:bottom w:val="nil"/>
              <w:right w:val="nil"/>
            </w:tcBorders>
            <w:shd w:val="clear" w:color="000000" w:fill="BFBFBF"/>
            <w:noWrap/>
            <w:vAlign w:val="bottom"/>
            <w:hideMark/>
          </w:tcPr>
          <w:p w14:paraId="27BA543E" w14:textId="6B7B302F" w:rsidR="00EC5B27" w:rsidRPr="005805E3" w:rsidRDefault="00EC5B27" w:rsidP="005004D1">
            <w:pPr>
              <w:spacing w:after="0" w:line="240" w:lineRule="auto"/>
              <w:jc w:val="center"/>
              <w:rPr>
                <w:rFonts w:eastAsia="Times New Roman" w:cs="Calibri"/>
                <w:sz w:val="14"/>
                <w:szCs w:val="14"/>
                <w:lang w:eastAsia="es-ES"/>
              </w:rPr>
            </w:pPr>
            <w:r w:rsidRPr="005805E3">
              <w:rPr>
                <w:rFonts w:eastAsia="Times New Roman" w:cs="Calibri"/>
                <w:b/>
                <w:bCs/>
                <w:color w:val="000000"/>
                <w:sz w:val="14"/>
                <w:szCs w:val="14"/>
                <w:lang w:eastAsia="es-ES"/>
              </w:rPr>
              <w:t>(</w:t>
            </w:r>
            <w:r>
              <w:rPr>
                <w:rFonts w:eastAsia="Times New Roman" w:cs="Calibri"/>
                <w:b/>
                <w:bCs/>
                <w:color w:val="000000"/>
                <w:sz w:val="14"/>
                <w:szCs w:val="14"/>
                <w:lang w:eastAsia="es-ES"/>
              </w:rPr>
              <w:t>74.863</w:t>
            </w:r>
            <w:r w:rsidRPr="005805E3">
              <w:rPr>
                <w:rFonts w:eastAsia="Times New Roman" w:cs="Calibri"/>
                <w:b/>
                <w:bCs/>
                <w:color w:val="000000"/>
                <w:sz w:val="14"/>
                <w:szCs w:val="14"/>
                <w:lang w:eastAsia="es-ES"/>
              </w:rPr>
              <w:t>)</w:t>
            </w:r>
          </w:p>
        </w:tc>
        <w:tc>
          <w:tcPr>
            <w:tcW w:w="1275" w:type="dxa"/>
            <w:tcBorders>
              <w:top w:val="nil"/>
              <w:left w:val="nil"/>
              <w:bottom w:val="nil"/>
              <w:right w:val="nil"/>
            </w:tcBorders>
            <w:shd w:val="clear" w:color="000000" w:fill="BFBFBF"/>
            <w:noWrap/>
            <w:vAlign w:val="bottom"/>
            <w:hideMark/>
          </w:tcPr>
          <w:p w14:paraId="323EA78A" w14:textId="0E642469" w:rsidR="00EC5B27" w:rsidRPr="005805E3" w:rsidRDefault="00EC5B27" w:rsidP="005004D1">
            <w:pPr>
              <w:spacing w:after="0" w:line="240" w:lineRule="auto"/>
              <w:jc w:val="center"/>
              <w:rPr>
                <w:rFonts w:eastAsia="Times New Roman" w:cs="Calibri"/>
                <w:sz w:val="14"/>
                <w:szCs w:val="14"/>
                <w:lang w:eastAsia="es-ES"/>
              </w:rPr>
            </w:pPr>
            <w:r w:rsidRPr="005805E3">
              <w:rPr>
                <w:rFonts w:eastAsia="Times New Roman" w:cs="Calibri"/>
                <w:b/>
                <w:bCs/>
                <w:color w:val="000000"/>
                <w:sz w:val="14"/>
                <w:szCs w:val="14"/>
                <w:lang w:eastAsia="es-ES"/>
              </w:rPr>
              <w:t>(</w:t>
            </w:r>
            <w:r>
              <w:rPr>
                <w:rFonts w:eastAsia="Times New Roman" w:cs="Calibri"/>
                <w:b/>
                <w:bCs/>
                <w:color w:val="000000"/>
                <w:sz w:val="14"/>
                <w:szCs w:val="14"/>
                <w:lang w:eastAsia="es-ES"/>
              </w:rPr>
              <w:t>92.556)</w:t>
            </w:r>
          </w:p>
        </w:tc>
        <w:tc>
          <w:tcPr>
            <w:tcW w:w="1134" w:type="dxa"/>
            <w:tcBorders>
              <w:top w:val="nil"/>
              <w:left w:val="nil"/>
              <w:bottom w:val="nil"/>
              <w:right w:val="nil"/>
            </w:tcBorders>
            <w:shd w:val="clear" w:color="000000" w:fill="BFBFBF"/>
            <w:noWrap/>
            <w:vAlign w:val="bottom"/>
            <w:hideMark/>
          </w:tcPr>
          <w:p w14:paraId="28AE2AE2" w14:textId="472999C6" w:rsidR="00EC5B27" w:rsidRPr="005805E3" w:rsidRDefault="00EC5B27" w:rsidP="005004D1">
            <w:pPr>
              <w:spacing w:after="0" w:line="240" w:lineRule="auto"/>
              <w:jc w:val="center"/>
              <w:rPr>
                <w:rFonts w:eastAsia="Times New Roman" w:cs="Calibri"/>
                <w:color w:val="000000"/>
                <w:sz w:val="14"/>
                <w:szCs w:val="14"/>
                <w:lang w:eastAsia="es-ES"/>
              </w:rPr>
            </w:pPr>
            <w:r>
              <w:rPr>
                <w:rFonts w:eastAsia="Times New Roman" w:cs="Calibri"/>
                <w:b/>
                <w:bCs/>
                <w:color w:val="000000"/>
                <w:sz w:val="14"/>
                <w:szCs w:val="14"/>
                <w:lang w:eastAsia="es-ES"/>
              </w:rPr>
              <w:t>17.693</w:t>
            </w:r>
          </w:p>
        </w:tc>
        <w:tc>
          <w:tcPr>
            <w:tcW w:w="566" w:type="dxa"/>
            <w:tcBorders>
              <w:top w:val="nil"/>
              <w:left w:val="nil"/>
              <w:bottom w:val="nil"/>
              <w:right w:val="nil"/>
            </w:tcBorders>
            <w:shd w:val="clear" w:color="000000" w:fill="BFBFBF"/>
            <w:noWrap/>
            <w:vAlign w:val="bottom"/>
            <w:hideMark/>
          </w:tcPr>
          <w:p w14:paraId="3CAFDA19" w14:textId="071DFC0D" w:rsidR="00EC5B27" w:rsidRPr="005805E3" w:rsidRDefault="00EC5B27" w:rsidP="005004D1">
            <w:pPr>
              <w:spacing w:after="0" w:line="240" w:lineRule="auto"/>
              <w:jc w:val="center"/>
              <w:rPr>
                <w:rFonts w:eastAsia="Times New Roman" w:cs="Calibri"/>
                <w:color w:val="000000"/>
                <w:sz w:val="14"/>
                <w:szCs w:val="14"/>
                <w:lang w:eastAsia="es-ES"/>
              </w:rPr>
            </w:pPr>
            <w:r w:rsidRPr="005805E3">
              <w:rPr>
                <w:rFonts w:eastAsia="Times New Roman" w:cs="Calibri"/>
                <w:b/>
                <w:bCs/>
                <w:color w:val="000000"/>
                <w:sz w:val="14"/>
                <w:szCs w:val="14"/>
                <w:lang w:eastAsia="es-ES"/>
              </w:rPr>
              <w:t>2</w:t>
            </w:r>
            <w:r>
              <w:rPr>
                <w:rFonts w:eastAsia="Times New Roman" w:cs="Calibri"/>
                <w:b/>
                <w:bCs/>
                <w:color w:val="000000"/>
                <w:sz w:val="14"/>
                <w:szCs w:val="14"/>
                <w:lang w:eastAsia="es-ES"/>
              </w:rPr>
              <w:t>4</w:t>
            </w:r>
            <w:r w:rsidRPr="005805E3">
              <w:rPr>
                <w:rFonts w:eastAsia="Times New Roman" w:cs="Calibri"/>
                <w:b/>
                <w:bCs/>
                <w:color w:val="000000"/>
                <w:sz w:val="14"/>
                <w:szCs w:val="14"/>
                <w:lang w:eastAsia="es-ES"/>
              </w:rPr>
              <w:t>%</w:t>
            </w:r>
          </w:p>
        </w:tc>
      </w:tr>
      <w:tr w:rsidR="00EC5B27" w:rsidRPr="005805E3" w14:paraId="3529CCEA" w14:textId="77777777" w:rsidTr="00526C4A">
        <w:trPr>
          <w:trHeight w:val="293"/>
        </w:trPr>
        <w:tc>
          <w:tcPr>
            <w:tcW w:w="3381" w:type="dxa"/>
            <w:tcBorders>
              <w:top w:val="nil"/>
              <w:left w:val="nil"/>
              <w:bottom w:val="nil"/>
              <w:right w:val="nil"/>
            </w:tcBorders>
            <w:shd w:val="clear" w:color="auto" w:fill="7F7F7F" w:themeFill="text1" w:themeFillTint="80"/>
            <w:noWrap/>
            <w:vAlign w:val="bottom"/>
            <w:hideMark/>
          </w:tcPr>
          <w:p w14:paraId="046FEC92" w14:textId="59CF9E21" w:rsidR="00EC5B27" w:rsidRPr="005805E3" w:rsidRDefault="00EC5B27" w:rsidP="005004D1">
            <w:pPr>
              <w:spacing w:after="0" w:line="240" w:lineRule="auto"/>
              <w:rPr>
                <w:rFonts w:eastAsia="Times New Roman" w:cs="Calibri"/>
                <w:color w:val="000000"/>
                <w:sz w:val="14"/>
                <w:szCs w:val="14"/>
                <w:lang w:eastAsia="es-ES"/>
              </w:rPr>
            </w:pPr>
            <w:r>
              <w:rPr>
                <w:rFonts w:eastAsia="Times New Roman" w:cs="Calibri"/>
                <w:b/>
                <w:bCs/>
                <w:color w:val="000000"/>
                <w:sz w:val="14"/>
                <w:szCs w:val="14"/>
                <w:lang w:eastAsia="es-ES"/>
              </w:rPr>
              <w:t>RESULTADO DE EXPLOTACIÓN</w:t>
            </w:r>
          </w:p>
        </w:tc>
        <w:tc>
          <w:tcPr>
            <w:tcW w:w="940" w:type="dxa"/>
            <w:tcBorders>
              <w:top w:val="nil"/>
              <w:left w:val="nil"/>
              <w:bottom w:val="nil"/>
              <w:right w:val="nil"/>
            </w:tcBorders>
            <w:shd w:val="clear" w:color="auto" w:fill="7F7F7F" w:themeFill="text1" w:themeFillTint="80"/>
            <w:noWrap/>
            <w:vAlign w:val="bottom"/>
            <w:hideMark/>
          </w:tcPr>
          <w:p w14:paraId="54D33F21" w14:textId="0CF23C2C" w:rsidR="00EC5B27" w:rsidRPr="005805E3" w:rsidRDefault="00EC5B27" w:rsidP="005004D1">
            <w:pPr>
              <w:spacing w:after="0" w:line="240" w:lineRule="auto"/>
              <w:jc w:val="center"/>
              <w:rPr>
                <w:rFonts w:eastAsia="Times New Roman" w:cs="Calibri"/>
                <w:b/>
                <w:bCs/>
                <w:sz w:val="14"/>
                <w:szCs w:val="14"/>
                <w:lang w:eastAsia="es-ES"/>
              </w:rPr>
            </w:pPr>
          </w:p>
        </w:tc>
        <w:tc>
          <w:tcPr>
            <w:tcW w:w="1208" w:type="dxa"/>
            <w:tcBorders>
              <w:top w:val="nil"/>
              <w:left w:val="nil"/>
              <w:bottom w:val="nil"/>
              <w:right w:val="nil"/>
            </w:tcBorders>
            <w:shd w:val="clear" w:color="auto" w:fill="7F7F7F" w:themeFill="text1" w:themeFillTint="80"/>
            <w:noWrap/>
            <w:vAlign w:val="bottom"/>
            <w:hideMark/>
          </w:tcPr>
          <w:p w14:paraId="4729C7A1" w14:textId="11E8453E" w:rsidR="00EC5B27" w:rsidRPr="005805E3" w:rsidRDefault="00EC5B27" w:rsidP="005004D1">
            <w:pPr>
              <w:spacing w:after="0" w:line="240" w:lineRule="auto"/>
              <w:jc w:val="center"/>
              <w:rPr>
                <w:rFonts w:eastAsia="Times New Roman" w:cs="Calibri"/>
                <w:sz w:val="14"/>
                <w:szCs w:val="14"/>
                <w:lang w:eastAsia="es-ES"/>
              </w:rPr>
            </w:pPr>
            <w:r>
              <w:rPr>
                <w:rFonts w:eastAsia="Times New Roman" w:cs="Calibri"/>
                <w:b/>
                <w:bCs/>
                <w:color w:val="000000"/>
                <w:sz w:val="14"/>
                <w:szCs w:val="14"/>
                <w:lang w:eastAsia="es-ES"/>
              </w:rPr>
              <w:t>18.880</w:t>
            </w:r>
          </w:p>
        </w:tc>
        <w:tc>
          <w:tcPr>
            <w:tcW w:w="1275" w:type="dxa"/>
            <w:tcBorders>
              <w:top w:val="nil"/>
              <w:left w:val="nil"/>
              <w:bottom w:val="nil"/>
              <w:right w:val="nil"/>
            </w:tcBorders>
            <w:shd w:val="clear" w:color="auto" w:fill="7F7F7F" w:themeFill="text1" w:themeFillTint="80"/>
            <w:noWrap/>
            <w:vAlign w:val="bottom"/>
            <w:hideMark/>
          </w:tcPr>
          <w:p w14:paraId="28DC41E2" w14:textId="3B4F61B3" w:rsidR="00EC5B27" w:rsidRPr="005805E3" w:rsidRDefault="00EC5B27" w:rsidP="005004D1">
            <w:pPr>
              <w:spacing w:after="0" w:line="240" w:lineRule="auto"/>
              <w:jc w:val="center"/>
              <w:rPr>
                <w:rFonts w:eastAsia="Times New Roman" w:cs="Calibri"/>
                <w:sz w:val="14"/>
                <w:szCs w:val="14"/>
                <w:lang w:eastAsia="es-ES"/>
              </w:rPr>
            </w:pPr>
            <w:r>
              <w:rPr>
                <w:rFonts w:eastAsia="Times New Roman" w:cs="Calibri"/>
                <w:b/>
                <w:bCs/>
                <w:color w:val="000000"/>
                <w:sz w:val="14"/>
                <w:szCs w:val="14"/>
                <w:lang w:eastAsia="es-ES"/>
              </w:rPr>
              <w:t>2.146</w:t>
            </w:r>
          </w:p>
        </w:tc>
        <w:tc>
          <w:tcPr>
            <w:tcW w:w="1134" w:type="dxa"/>
            <w:tcBorders>
              <w:top w:val="nil"/>
              <w:left w:val="nil"/>
              <w:bottom w:val="nil"/>
              <w:right w:val="nil"/>
            </w:tcBorders>
            <w:shd w:val="clear" w:color="auto" w:fill="7F7F7F" w:themeFill="text1" w:themeFillTint="80"/>
            <w:noWrap/>
            <w:vAlign w:val="bottom"/>
            <w:hideMark/>
          </w:tcPr>
          <w:p w14:paraId="24D83F23" w14:textId="6449BB43" w:rsidR="00EC5B27" w:rsidRPr="005805E3" w:rsidRDefault="00EC5B27" w:rsidP="005004D1">
            <w:pPr>
              <w:spacing w:after="0" w:line="240" w:lineRule="auto"/>
              <w:jc w:val="center"/>
              <w:rPr>
                <w:rFonts w:eastAsia="Times New Roman" w:cs="Calibri"/>
                <w:color w:val="000000"/>
                <w:sz w:val="14"/>
                <w:szCs w:val="14"/>
                <w:lang w:eastAsia="es-ES"/>
              </w:rPr>
            </w:pPr>
            <w:r>
              <w:rPr>
                <w:rFonts w:eastAsia="Times New Roman" w:cs="Calibri"/>
                <w:b/>
                <w:bCs/>
                <w:color w:val="000000"/>
                <w:sz w:val="14"/>
                <w:szCs w:val="14"/>
                <w:lang w:eastAsia="es-ES"/>
              </w:rPr>
              <w:t>16.734</w:t>
            </w:r>
          </w:p>
        </w:tc>
        <w:tc>
          <w:tcPr>
            <w:tcW w:w="566" w:type="dxa"/>
            <w:tcBorders>
              <w:top w:val="nil"/>
              <w:left w:val="nil"/>
              <w:bottom w:val="nil"/>
              <w:right w:val="nil"/>
            </w:tcBorders>
            <w:shd w:val="clear" w:color="auto" w:fill="7F7F7F" w:themeFill="text1" w:themeFillTint="80"/>
            <w:noWrap/>
            <w:vAlign w:val="bottom"/>
            <w:hideMark/>
          </w:tcPr>
          <w:p w14:paraId="16FAF8DC" w14:textId="0D31BABA" w:rsidR="00EC5B27" w:rsidRPr="005805E3" w:rsidRDefault="00EC5B27" w:rsidP="005004D1">
            <w:pPr>
              <w:spacing w:after="0" w:line="240" w:lineRule="auto"/>
              <w:jc w:val="center"/>
              <w:rPr>
                <w:rFonts w:eastAsia="Times New Roman" w:cs="Calibri"/>
                <w:color w:val="000000"/>
                <w:sz w:val="14"/>
                <w:szCs w:val="14"/>
                <w:lang w:eastAsia="es-ES"/>
              </w:rPr>
            </w:pPr>
            <w:r>
              <w:rPr>
                <w:rFonts w:eastAsia="Times New Roman" w:cs="Calibri"/>
                <w:b/>
                <w:bCs/>
                <w:color w:val="000000"/>
                <w:sz w:val="14"/>
                <w:szCs w:val="14"/>
                <w:lang w:eastAsia="es-ES"/>
              </w:rPr>
              <w:t>-89%</w:t>
            </w:r>
          </w:p>
        </w:tc>
      </w:tr>
      <w:tr w:rsidR="00EC5B27" w:rsidRPr="005805E3" w14:paraId="3BFD4BCA" w14:textId="77777777" w:rsidTr="005004D1">
        <w:trPr>
          <w:trHeight w:val="293"/>
        </w:trPr>
        <w:tc>
          <w:tcPr>
            <w:tcW w:w="3381" w:type="dxa"/>
            <w:tcBorders>
              <w:top w:val="nil"/>
              <w:left w:val="nil"/>
              <w:bottom w:val="nil"/>
              <w:right w:val="nil"/>
            </w:tcBorders>
            <w:shd w:val="clear" w:color="auto" w:fill="auto"/>
            <w:noWrap/>
            <w:vAlign w:val="bottom"/>
            <w:hideMark/>
          </w:tcPr>
          <w:p w14:paraId="1FA7014E" w14:textId="47D52CD7" w:rsidR="00EC5B27" w:rsidRPr="005805E3" w:rsidRDefault="00EC5B27" w:rsidP="005004D1">
            <w:pPr>
              <w:spacing w:after="0" w:line="240" w:lineRule="auto"/>
              <w:rPr>
                <w:rFonts w:eastAsia="Times New Roman" w:cs="Calibri"/>
                <w:color w:val="000000"/>
                <w:sz w:val="14"/>
                <w:szCs w:val="14"/>
                <w:lang w:eastAsia="es-ES"/>
              </w:rPr>
            </w:pPr>
          </w:p>
        </w:tc>
        <w:tc>
          <w:tcPr>
            <w:tcW w:w="940" w:type="dxa"/>
            <w:tcBorders>
              <w:top w:val="nil"/>
              <w:left w:val="nil"/>
              <w:bottom w:val="nil"/>
              <w:right w:val="nil"/>
            </w:tcBorders>
            <w:shd w:val="clear" w:color="auto" w:fill="auto"/>
            <w:noWrap/>
            <w:vAlign w:val="center"/>
            <w:hideMark/>
          </w:tcPr>
          <w:p w14:paraId="64E9CE12" w14:textId="58260195" w:rsidR="00EC5B27" w:rsidRPr="005805E3" w:rsidRDefault="00EC5B27" w:rsidP="005004D1">
            <w:pPr>
              <w:spacing w:after="0" w:line="240" w:lineRule="auto"/>
              <w:jc w:val="center"/>
              <w:rPr>
                <w:rFonts w:eastAsia="Times New Roman" w:cs="Calibri"/>
                <w:b/>
                <w:bCs/>
                <w:sz w:val="14"/>
                <w:szCs w:val="14"/>
                <w:lang w:eastAsia="es-ES"/>
              </w:rPr>
            </w:pPr>
          </w:p>
        </w:tc>
        <w:tc>
          <w:tcPr>
            <w:tcW w:w="1208" w:type="dxa"/>
            <w:tcBorders>
              <w:top w:val="nil"/>
              <w:left w:val="nil"/>
              <w:bottom w:val="nil"/>
              <w:right w:val="nil"/>
            </w:tcBorders>
            <w:shd w:val="clear" w:color="auto" w:fill="auto"/>
            <w:noWrap/>
            <w:vAlign w:val="bottom"/>
            <w:hideMark/>
          </w:tcPr>
          <w:p w14:paraId="78938657" w14:textId="451783ED" w:rsidR="00EC5B27" w:rsidRPr="005805E3" w:rsidRDefault="00EC5B27" w:rsidP="005004D1">
            <w:pPr>
              <w:spacing w:after="0" w:line="240" w:lineRule="auto"/>
              <w:jc w:val="center"/>
              <w:rPr>
                <w:rFonts w:eastAsia="Times New Roman" w:cs="Calibri"/>
                <w:sz w:val="14"/>
                <w:szCs w:val="14"/>
                <w:lang w:eastAsia="es-ES"/>
              </w:rPr>
            </w:pPr>
          </w:p>
        </w:tc>
        <w:tc>
          <w:tcPr>
            <w:tcW w:w="1275" w:type="dxa"/>
            <w:tcBorders>
              <w:top w:val="nil"/>
              <w:left w:val="nil"/>
              <w:bottom w:val="nil"/>
              <w:right w:val="nil"/>
            </w:tcBorders>
            <w:shd w:val="clear" w:color="auto" w:fill="auto"/>
            <w:noWrap/>
            <w:vAlign w:val="bottom"/>
            <w:hideMark/>
          </w:tcPr>
          <w:p w14:paraId="4E95B6D5" w14:textId="322CE9EC" w:rsidR="00EC5B27" w:rsidRPr="005805E3" w:rsidRDefault="00EC5B27" w:rsidP="005004D1">
            <w:pPr>
              <w:spacing w:after="0" w:line="240" w:lineRule="auto"/>
              <w:jc w:val="center"/>
              <w:rPr>
                <w:rFonts w:eastAsia="Times New Roman" w:cs="Calibri"/>
                <w:sz w:val="14"/>
                <w:szCs w:val="14"/>
                <w:lang w:eastAsia="es-ES"/>
              </w:rPr>
            </w:pPr>
          </w:p>
        </w:tc>
        <w:tc>
          <w:tcPr>
            <w:tcW w:w="1134" w:type="dxa"/>
            <w:tcBorders>
              <w:top w:val="nil"/>
              <w:left w:val="nil"/>
              <w:bottom w:val="nil"/>
              <w:right w:val="nil"/>
            </w:tcBorders>
            <w:shd w:val="clear" w:color="000000" w:fill="FFFFFF"/>
            <w:noWrap/>
            <w:vAlign w:val="bottom"/>
            <w:hideMark/>
          </w:tcPr>
          <w:p w14:paraId="6093F3B3" w14:textId="0016DFE0" w:rsidR="00EC5B27" w:rsidRPr="005805E3" w:rsidRDefault="00EC5B27" w:rsidP="005004D1">
            <w:pPr>
              <w:spacing w:after="0" w:line="240" w:lineRule="auto"/>
              <w:jc w:val="center"/>
              <w:rPr>
                <w:rFonts w:eastAsia="Times New Roman" w:cs="Calibri"/>
                <w:color w:val="000000"/>
                <w:sz w:val="14"/>
                <w:szCs w:val="14"/>
                <w:lang w:eastAsia="es-ES"/>
              </w:rPr>
            </w:pPr>
          </w:p>
        </w:tc>
        <w:tc>
          <w:tcPr>
            <w:tcW w:w="566" w:type="dxa"/>
            <w:tcBorders>
              <w:top w:val="nil"/>
              <w:left w:val="nil"/>
              <w:bottom w:val="nil"/>
              <w:right w:val="nil"/>
            </w:tcBorders>
            <w:shd w:val="clear" w:color="000000" w:fill="FFFFFF"/>
            <w:noWrap/>
            <w:vAlign w:val="bottom"/>
            <w:hideMark/>
          </w:tcPr>
          <w:p w14:paraId="26F91091" w14:textId="08973F63" w:rsidR="00EC5B27" w:rsidRPr="005805E3" w:rsidRDefault="00EC5B27" w:rsidP="005004D1">
            <w:pPr>
              <w:spacing w:after="0" w:line="240" w:lineRule="auto"/>
              <w:jc w:val="center"/>
              <w:rPr>
                <w:rFonts w:eastAsia="Times New Roman" w:cs="Calibri"/>
                <w:color w:val="000000"/>
                <w:sz w:val="14"/>
                <w:szCs w:val="14"/>
                <w:lang w:eastAsia="es-ES"/>
              </w:rPr>
            </w:pPr>
          </w:p>
        </w:tc>
      </w:tr>
      <w:tr w:rsidR="00EC5B27" w:rsidRPr="005805E3" w14:paraId="25766742" w14:textId="77777777" w:rsidTr="00022ED4">
        <w:trPr>
          <w:trHeight w:val="293"/>
        </w:trPr>
        <w:tc>
          <w:tcPr>
            <w:tcW w:w="3381" w:type="dxa"/>
            <w:tcBorders>
              <w:top w:val="nil"/>
              <w:left w:val="nil"/>
              <w:bottom w:val="nil"/>
              <w:right w:val="nil"/>
            </w:tcBorders>
            <w:shd w:val="clear" w:color="auto" w:fill="auto"/>
            <w:noWrap/>
            <w:vAlign w:val="bottom"/>
            <w:hideMark/>
          </w:tcPr>
          <w:p w14:paraId="7F51584D" w14:textId="3E5D55D5" w:rsidR="00EC5B27" w:rsidRPr="005805E3" w:rsidRDefault="00EC5B27" w:rsidP="005004D1">
            <w:pPr>
              <w:spacing w:after="0" w:line="240" w:lineRule="auto"/>
              <w:rPr>
                <w:rFonts w:eastAsia="Times New Roman" w:cs="Calibri"/>
                <w:color w:val="000000"/>
                <w:sz w:val="14"/>
                <w:szCs w:val="14"/>
                <w:lang w:eastAsia="es-ES"/>
              </w:rPr>
            </w:pPr>
          </w:p>
        </w:tc>
        <w:tc>
          <w:tcPr>
            <w:tcW w:w="940" w:type="dxa"/>
            <w:tcBorders>
              <w:top w:val="nil"/>
              <w:left w:val="nil"/>
              <w:bottom w:val="nil"/>
              <w:right w:val="nil"/>
            </w:tcBorders>
            <w:shd w:val="clear" w:color="auto" w:fill="auto"/>
            <w:noWrap/>
            <w:vAlign w:val="center"/>
            <w:hideMark/>
          </w:tcPr>
          <w:p w14:paraId="6EB56C98" w14:textId="1DB2AAA4" w:rsidR="00EC5B27" w:rsidRPr="005805E3" w:rsidRDefault="00EC5B27" w:rsidP="005004D1">
            <w:pPr>
              <w:spacing w:after="0" w:line="240" w:lineRule="auto"/>
              <w:jc w:val="center"/>
              <w:rPr>
                <w:rFonts w:eastAsia="Times New Roman" w:cs="Calibri"/>
                <w:b/>
                <w:bCs/>
                <w:sz w:val="14"/>
                <w:szCs w:val="14"/>
                <w:lang w:eastAsia="es-ES"/>
              </w:rPr>
            </w:pPr>
          </w:p>
        </w:tc>
        <w:tc>
          <w:tcPr>
            <w:tcW w:w="1208" w:type="dxa"/>
            <w:tcBorders>
              <w:top w:val="nil"/>
              <w:left w:val="nil"/>
              <w:bottom w:val="nil"/>
              <w:right w:val="nil"/>
            </w:tcBorders>
            <w:shd w:val="clear" w:color="auto" w:fill="auto"/>
            <w:noWrap/>
            <w:vAlign w:val="bottom"/>
            <w:hideMark/>
          </w:tcPr>
          <w:p w14:paraId="4113EF57" w14:textId="6A491C62" w:rsidR="00EC5B27" w:rsidRPr="005805E3" w:rsidRDefault="00EC5B27" w:rsidP="005004D1">
            <w:pPr>
              <w:spacing w:after="0" w:line="240" w:lineRule="auto"/>
              <w:jc w:val="center"/>
              <w:rPr>
                <w:rFonts w:eastAsia="Times New Roman" w:cs="Calibri"/>
                <w:sz w:val="14"/>
                <w:szCs w:val="14"/>
                <w:lang w:eastAsia="es-ES"/>
              </w:rPr>
            </w:pPr>
          </w:p>
        </w:tc>
        <w:tc>
          <w:tcPr>
            <w:tcW w:w="1275" w:type="dxa"/>
            <w:tcBorders>
              <w:top w:val="nil"/>
              <w:left w:val="nil"/>
              <w:bottom w:val="nil"/>
              <w:right w:val="nil"/>
            </w:tcBorders>
            <w:shd w:val="clear" w:color="auto" w:fill="auto"/>
            <w:noWrap/>
            <w:vAlign w:val="bottom"/>
            <w:hideMark/>
          </w:tcPr>
          <w:p w14:paraId="34D1BAA4" w14:textId="11D2CE65" w:rsidR="00EC5B27" w:rsidRPr="005805E3" w:rsidRDefault="00EC5B27" w:rsidP="005004D1">
            <w:pPr>
              <w:spacing w:after="0" w:line="240" w:lineRule="auto"/>
              <w:jc w:val="center"/>
              <w:rPr>
                <w:rFonts w:eastAsia="Times New Roman" w:cs="Calibri"/>
                <w:sz w:val="14"/>
                <w:szCs w:val="14"/>
                <w:lang w:eastAsia="es-ES"/>
              </w:rPr>
            </w:pPr>
          </w:p>
        </w:tc>
        <w:tc>
          <w:tcPr>
            <w:tcW w:w="1134" w:type="dxa"/>
            <w:tcBorders>
              <w:top w:val="nil"/>
              <w:left w:val="nil"/>
              <w:bottom w:val="nil"/>
              <w:right w:val="nil"/>
            </w:tcBorders>
            <w:shd w:val="clear" w:color="000000" w:fill="FFFFFF"/>
            <w:noWrap/>
            <w:vAlign w:val="bottom"/>
            <w:hideMark/>
          </w:tcPr>
          <w:p w14:paraId="6CF1FDD7" w14:textId="5F44B6A8" w:rsidR="00EC5B27" w:rsidRPr="005805E3" w:rsidRDefault="00EC5B27" w:rsidP="005004D1">
            <w:pPr>
              <w:spacing w:after="0" w:line="240" w:lineRule="auto"/>
              <w:jc w:val="center"/>
              <w:rPr>
                <w:rFonts w:eastAsia="Times New Roman" w:cs="Calibri"/>
                <w:color w:val="000000"/>
                <w:sz w:val="14"/>
                <w:szCs w:val="14"/>
                <w:lang w:eastAsia="es-ES"/>
              </w:rPr>
            </w:pPr>
          </w:p>
        </w:tc>
        <w:tc>
          <w:tcPr>
            <w:tcW w:w="566" w:type="dxa"/>
            <w:tcBorders>
              <w:top w:val="nil"/>
              <w:left w:val="nil"/>
              <w:bottom w:val="nil"/>
              <w:right w:val="nil"/>
            </w:tcBorders>
            <w:shd w:val="clear" w:color="000000" w:fill="FFFFFF"/>
            <w:noWrap/>
            <w:vAlign w:val="bottom"/>
            <w:hideMark/>
          </w:tcPr>
          <w:p w14:paraId="1AA42043" w14:textId="6A202D2F" w:rsidR="00EC5B27" w:rsidRPr="005805E3" w:rsidRDefault="00EC5B27" w:rsidP="005004D1">
            <w:pPr>
              <w:spacing w:after="0" w:line="240" w:lineRule="auto"/>
              <w:jc w:val="center"/>
              <w:rPr>
                <w:rFonts w:eastAsia="Times New Roman" w:cs="Calibri"/>
                <w:color w:val="000000"/>
                <w:sz w:val="14"/>
                <w:szCs w:val="14"/>
                <w:lang w:eastAsia="es-ES"/>
              </w:rPr>
            </w:pPr>
          </w:p>
        </w:tc>
      </w:tr>
    </w:tbl>
    <w:p w14:paraId="44743E0C" w14:textId="0C54AF9B" w:rsidR="00177491" w:rsidRPr="00EB6871" w:rsidRDefault="001C6EA1" w:rsidP="00FA1E85">
      <w:pPr>
        <w:jc w:val="left"/>
      </w:pPr>
      <w:r w:rsidRPr="00EB6871">
        <w:t>D</w:t>
      </w:r>
      <w:r w:rsidR="00177491" w:rsidRPr="00EB6871">
        <w:t xml:space="preserve">ejando a un lado las obligaciones que asume </w:t>
      </w:r>
      <w:r w:rsidR="0065362D">
        <w:t>MWCapital</w:t>
      </w:r>
      <w:r w:rsidR="00177491" w:rsidRPr="00EB6871">
        <w:t xml:space="preserve"> relacionadas con la celebración del </w:t>
      </w:r>
      <w:r w:rsidR="0065362D">
        <w:t>MWC Barcelona</w:t>
      </w:r>
      <w:r w:rsidR="00177491" w:rsidRPr="00EB6871">
        <w:t xml:space="preserve"> y que se derivan del Host City Parties Agreement, el gasto en Servicios </w:t>
      </w:r>
      <w:r w:rsidR="00177491" w:rsidRPr="00EB6871">
        <w:lastRenderedPageBreak/>
        <w:t xml:space="preserve">Exteriores, que se concentran principalmente en los programas Digital Future Society, </w:t>
      </w:r>
      <w:r w:rsidR="0065362D">
        <w:t xml:space="preserve">Barcelona </w:t>
      </w:r>
      <w:r w:rsidR="00177491" w:rsidRPr="00EB6871">
        <w:t xml:space="preserve">Digital Talent, Marketing Corporativo (incluye eventos) y servicios corporativos para dar respuesta a todas las necesidades de los programas (incluye servicios jurídicos, </w:t>
      </w:r>
      <w:r w:rsidR="0065362D">
        <w:t>RRHH</w:t>
      </w:r>
      <w:r w:rsidR="00177491" w:rsidRPr="00EB6871">
        <w:t>, alquileres, et</w:t>
      </w:r>
      <w:r w:rsidR="0065362D">
        <w:t>c.</w:t>
      </w:r>
      <w:r w:rsidR="00177491" w:rsidRPr="00EB6871">
        <w:t>).</w:t>
      </w:r>
    </w:p>
    <w:p w14:paraId="45DABBA5" w14:textId="7B49631A" w:rsidR="00177491" w:rsidRPr="00EB6871" w:rsidRDefault="00177491" w:rsidP="00FA1E85">
      <w:pPr>
        <w:jc w:val="left"/>
      </w:pPr>
      <w:r w:rsidRPr="00EB6871">
        <w:t>En 202</w:t>
      </w:r>
      <w:r w:rsidR="00F8182D">
        <w:t>2</w:t>
      </w:r>
      <w:r w:rsidRPr="00EB6871">
        <w:t xml:space="preserve"> se prevé un mayor gasto del 1</w:t>
      </w:r>
      <w:r w:rsidR="007120FB">
        <w:t>7</w:t>
      </w:r>
      <w:r w:rsidRPr="00EB6871">
        <w:t>% (</w:t>
      </w:r>
      <w:r w:rsidR="00F8182D">
        <w:t>2.</w:t>
      </w:r>
      <w:r w:rsidR="007120FB">
        <w:t>5</w:t>
      </w:r>
      <w:r w:rsidR="00F8182D">
        <w:t>38</w:t>
      </w:r>
      <w:r w:rsidRPr="00EB6871">
        <w:t xml:space="preserve"> k€) de los gastos de explotación. Esto está relacionado con la cantidad de ingresos que se esperan recibir durante el año y se activa gasto en consonancia con el objetivo </w:t>
      </w:r>
      <w:r w:rsidR="0065362D">
        <w:t>f</w:t>
      </w:r>
      <w:r w:rsidR="0065362D" w:rsidRPr="00EB6871">
        <w:t xml:space="preserve">undacional </w:t>
      </w:r>
      <w:r w:rsidRPr="00EB6871">
        <w:t xml:space="preserve">de resultado más próximo al punto de equilibrio, es decir lo más próximo a cero. </w:t>
      </w:r>
    </w:p>
    <w:p w14:paraId="64AB8D1F" w14:textId="116D3058" w:rsidR="00177491" w:rsidRPr="00EB6871" w:rsidRDefault="00177491" w:rsidP="00FA1E85">
      <w:pPr>
        <w:jc w:val="left"/>
      </w:pPr>
      <w:r w:rsidRPr="00EB6871">
        <w:t xml:space="preserve">Este incremento se debe </w:t>
      </w:r>
      <w:r w:rsidR="001E7BDE">
        <w:t>principalmente</w:t>
      </w:r>
      <w:r w:rsidRPr="00EB6871">
        <w:t xml:space="preserve"> porque en este presupuesto se considera la </w:t>
      </w:r>
      <w:r w:rsidR="00F8182D">
        <w:t>firma para un nuevo convenio asociado al programa Digital Future Society, así como Observatorio Nacional</w:t>
      </w:r>
      <w:r w:rsidR="00A270B1">
        <w:t xml:space="preserve">. Contando también que el MWC Barcelona 2022 será parecido a anteriores ediciones a la pandemia, COVID-19 y por tanto será más grande que el realizado en julio de 2021. </w:t>
      </w:r>
      <w:r w:rsidRPr="00EB6871">
        <w:t xml:space="preserve"> </w:t>
      </w:r>
    </w:p>
    <w:p w14:paraId="7B816717" w14:textId="2AC31BAD" w:rsidR="00177491" w:rsidRPr="00EB6871" w:rsidRDefault="000B5A46" w:rsidP="00FA1E85">
      <w:pPr>
        <w:jc w:val="left"/>
      </w:pPr>
      <w:r w:rsidRPr="00EB6871">
        <w:t>Por último, l</w:t>
      </w:r>
      <w:r w:rsidR="00177491" w:rsidRPr="00EB6871">
        <w:t xml:space="preserve">os gastos en publicidad, </w:t>
      </w:r>
      <w:r w:rsidR="0065362D">
        <w:t>comunicación</w:t>
      </w:r>
      <w:r w:rsidR="0065362D" w:rsidRPr="00EB6871">
        <w:t xml:space="preserve"> </w:t>
      </w:r>
      <w:r w:rsidR="00177491" w:rsidRPr="00EB6871">
        <w:t xml:space="preserve">y relaciones públicas también </w:t>
      </w:r>
      <w:r w:rsidR="00BE6A0F" w:rsidRPr="00EB6871">
        <w:t>incrementarán</w:t>
      </w:r>
      <w:r w:rsidRPr="00EB6871">
        <w:t xml:space="preserve"> el gasto en esta partida</w:t>
      </w:r>
      <w:r w:rsidR="00177491" w:rsidRPr="00EB6871">
        <w:t>, ya que muchas acciones de marketing se han postpuesto para realizarlas durante el año 202</w:t>
      </w:r>
      <w:r w:rsidR="00F87A19">
        <w:t>2</w:t>
      </w:r>
      <w:r w:rsidR="00177491" w:rsidRPr="00EB6871">
        <w:t xml:space="preserve"> repartido entre los distintos programas, tales como Digital Talent (+</w:t>
      </w:r>
      <w:r w:rsidR="00B54B80">
        <w:t>28</w:t>
      </w:r>
      <w:r w:rsidR="00177491" w:rsidRPr="00EB6871">
        <w:t>€), 5G Barcelona y ON5G (+</w:t>
      </w:r>
      <w:r w:rsidR="003C5134">
        <w:t>274</w:t>
      </w:r>
      <w:r w:rsidR="00177491" w:rsidRPr="00EB6871">
        <w:t xml:space="preserve"> k€) con mayor volumen de patrocinios y convenios de colaboración. </w:t>
      </w:r>
    </w:p>
    <w:p w14:paraId="35C8393B" w14:textId="439C2E7D" w:rsidR="00177491" w:rsidRPr="00EB6871" w:rsidRDefault="00177491" w:rsidP="00FA1E85">
      <w:pPr>
        <w:jc w:val="left"/>
      </w:pPr>
      <w:r w:rsidRPr="00EB6871">
        <w:t>A continuación, se detallarán cada una de las partidas de gastos de explotación comparando previsión de cierre 202</w:t>
      </w:r>
      <w:r w:rsidR="003C5134">
        <w:t>1</w:t>
      </w:r>
      <w:r w:rsidRPr="00EB6871">
        <w:t xml:space="preserve"> vs presupuesto 202</w:t>
      </w:r>
      <w:r w:rsidR="003C5134">
        <w:t>2</w:t>
      </w:r>
      <w:r w:rsidRPr="00EB6871">
        <w:t>:</w:t>
      </w:r>
    </w:p>
    <w:p w14:paraId="07CD56B5" w14:textId="77777777" w:rsidR="00C627D5" w:rsidRPr="00EB6871" w:rsidRDefault="00C627D5" w:rsidP="00084399"/>
    <w:p w14:paraId="3AB9BD6F" w14:textId="63B5D7BF" w:rsidR="00177491" w:rsidRPr="003B086D" w:rsidRDefault="00C63CFF" w:rsidP="00084399">
      <w:pPr>
        <w:rPr>
          <w:rStyle w:val="nfasissutil"/>
        </w:rPr>
      </w:pPr>
      <w:r w:rsidRPr="003B086D">
        <w:rPr>
          <w:rStyle w:val="nfasissutil"/>
        </w:rPr>
        <w:t xml:space="preserve">a. </w:t>
      </w:r>
      <w:r w:rsidR="00177491" w:rsidRPr="003B086D">
        <w:rPr>
          <w:rStyle w:val="nfasissutil"/>
        </w:rPr>
        <w:t>Alquileres y cánones</w:t>
      </w:r>
    </w:p>
    <w:tbl>
      <w:tblPr>
        <w:tblW w:w="8001" w:type="dxa"/>
        <w:tblInd w:w="70" w:type="dxa"/>
        <w:tblCellMar>
          <w:left w:w="70" w:type="dxa"/>
          <w:right w:w="70" w:type="dxa"/>
        </w:tblCellMar>
        <w:tblLook w:val="04A0" w:firstRow="1" w:lastRow="0" w:firstColumn="1" w:lastColumn="0" w:noHBand="0" w:noVBand="1"/>
      </w:tblPr>
      <w:tblGrid>
        <w:gridCol w:w="2850"/>
        <w:gridCol w:w="1900"/>
        <w:gridCol w:w="1701"/>
        <w:gridCol w:w="972"/>
        <w:gridCol w:w="972"/>
      </w:tblGrid>
      <w:tr w:rsidR="00C627D5" w:rsidRPr="005B30AF" w14:paraId="2FF2381C" w14:textId="77777777" w:rsidTr="005B30AF">
        <w:trPr>
          <w:trHeight w:val="262"/>
        </w:trPr>
        <w:tc>
          <w:tcPr>
            <w:tcW w:w="2850" w:type="dxa"/>
            <w:tcBorders>
              <w:top w:val="nil"/>
              <w:left w:val="nil"/>
              <w:bottom w:val="nil"/>
              <w:right w:val="nil"/>
            </w:tcBorders>
            <w:shd w:val="clear" w:color="auto" w:fill="auto"/>
            <w:noWrap/>
            <w:vAlign w:val="bottom"/>
            <w:hideMark/>
          </w:tcPr>
          <w:p w14:paraId="6B4ADBB5" w14:textId="77777777" w:rsidR="00C627D5" w:rsidRPr="005B30AF" w:rsidRDefault="00C627D5" w:rsidP="00084399">
            <w:pPr>
              <w:rPr>
                <w:sz w:val="16"/>
                <w:szCs w:val="16"/>
              </w:rPr>
            </w:pPr>
          </w:p>
        </w:tc>
        <w:tc>
          <w:tcPr>
            <w:tcW w:w="1900" w:type="dxa"/>
            <w:tcBorders>
              <w:top w:val="nil"/>
              <w:left w:val="nil"/>
              <w:bottom w:val="nil"/>
              <w:right w:val="nil"/>
            </w:tcBorders>
            <w:shd w:val="clear" w:color="auto" w:fill="C00000"/>
            <w:noWrap/>
            <w:vAlign w:val="bottom"/>
            <w:hideMark/>
          </w:tcPr>
          <w:p w14:paraId="31DB8F90" w14:textId="7D484036" w:rsidR="00C627D5" w:rsidRPr="005B30AF" w:rsidRDefault="00C627D5" w:rsidP="005B30AF">
            <w:pPr>
              <w:jc w:val="center"/>
              <w:rPr>
                <w:rStyle w:val="nfasissutil"/>
                <w:color w:val="FFFFFF" w:themeColor="background1"/>
                <w:sz w:val="16"/>
                <w:szCs w:val="16"/>
              </w:rPr>
            </w:pPr>
            <w:r w:rsidRPr="005B30AF">
              <w:rPr>
                <w:rStyle w:val="nfasissutil"/>
                <w:color w:val="FFFFFF" w:themeColor="background1"/>
                <w:sz w:val="16"/>
                <w:szCs w:val="16"/>
              </w:rPr>
              <w:t>Previsión</w:t>
            </w:r>
            <w:r w:rsidR="005B30AF">
              <w:rPr>
                <w:rStyle w:val="nfasissutil"/>
                <w:color w:val="FFFFFF" w:themeColor="background1"/>
                <w:sz w:val="16"/>
                <w:szCs w:val="16"/>
              </w:rPr>
              <w:t xml:space="preserve"> </w:t>
            </w:r>
            <w:r w:rsidRPr="005B30AF">
              <w:rPr>
                <w:rStyle w:val="nfasissutil"/>
                <w:color w:val="FFFFFF" w:themeColor="background1"/>
                <w:sz w:val="16"/>
                <w:szCs w:val="16"/>
              </w:rPr>
              <w:t>cierre 202</w:t>
            </w:r>
            <w:r w:rsidR="00C551BC">
              <w:rPr>
                <w:rStyle w:val="nfasissutil"/>
                <w:color w:val="FFFFFF" w:themeColor="background1"/>
                <w:sz w:val="16"/>
                <w:szCs w:val="16"/>
              </w:rPr>
              <w:t>1</w:t>
            </w:r>
          </w:p>
        </w:tc>
        <w:tc>
          <w:tcPr>
            <w:tcW w:w="1701" w:type="dxa"/>
            <w:tcBorders>
              <w:top w:val="nil"/>
              <w:left w:val="nil"/>
              <w:bottom w:val="nil"/>
              <w:right w:val="nil"/>
            </w:tcBorders>
            <w:shd w:val="clear" w:color="auto" w:fill="C00000"/>
            <w:noWrap/>
            <w:vAlign w:val="bottom"/>
            <w:hideMark/>
          </w:tcPr>
          <w:p w14:paraId="4F1F54DD" w14:textId="06CFB556" w:rsidR="00C627D5" w:rsidRPr="005B30AF" w:rsidRDefault="00C627D5" w:rsidP="005B30AF">
            <w:pPr>
              <w:jc w:val="center"/>
              <w:rPr>
                <w:rStyle w:val="nfasissutil"/>
                <w:color w:val="FFFFFF" w:themeColor="background1"/>
                <w:sz w:val="16"/>
                <w:szCs w:val="16"/>
              </w:rPr>
            </w:pPr>
            <w:r w:rsidRPr="005B30AF">
              <w:rPr>
                <w:rStyle w:val="nfasissutil"/>
                <w:color w:val="FFFFFF" w:themeColor="background1"/>
                <w:sz w:val="16"/>
                <w:szCs w:val="16"/>
              </w:rPr>
              <w:t>Presupuesto 202</w:t>
            </w:r>
            <w:r w:rsidR="00C551BC">
              <w:rPr>
                <w:rStyle w:val="nfasissutil"/>
                <w:color w:val="FFFFFF" w:themeColor="background1"/>
                <w:sz w:val="16"/>
                <w:szCs w:val="16"/>
              </w:rPr>
              <w:t>2</w:t>
            </w:r>
          </w:p>
        </w:tc>
        <w:tc>
          <w:tcPr>
            <w:tcW w:w="578" w:type="dxa"/>
            <w:tcBorders>
              <w:top w:val="nil"/>
              <w:left w:val="nil"/>
              <w:bottom w:val="nil"/>
              <w:right w:val="nil"/>
            </w:tcBorders>
            <w:shd w:val="clear" w:color="auto" w:fill="C00000"/>
            <w:noWrap/>
            <w:vAlign w:val="bottom"/>
            <w:hideMark/>
          </w:tcPr>
          <w:p w14:paraId="00077C0E" w14:textId="77777777" w:rsidR="00C627D5" w:rsidRPr="005B30AF" w:rsidRDefault="00C627D5" w:rsidP="005B30AF">
            <w:pPr>
              <w:jc w:val="center"/>
              <w:rPr>
                <w:rStyle w:val="nfasissutil"/>
                <w:color w:val="FFFFFF" w:themeColor="background1"/>
                <w:sz w:val="16"/>
                <w:szCs w:val="16"/>
              </w:rPr>
            </w:pPr>
            <w:r w:rsidRPr="005B30AF">
              <w:rPr>
                <w:rStyle w:val="nfasissutil"/>
                <w:color w:val="FFFFFF" w:themeColor="background1"/>
                <w:sz w:val="16"/>
                <w:szCs w:val="16"/>
              </w:rPr>
              <w:t>Diferencia</w:t>
            </w:r>
          </w:p>
        </w:tc>
        <w:tc>
          <w:tcPr>
            <w:tcW w:w="972" w:type="dxa"/>
            <w:tcBorders>
              <w:top w:val="nil"/>
              <w:left w:val="nil"/>
              <w:bottom w:val="nil"/>
              <w:right w:val="nil"/>
            </w:tcBorders>
            <w:shd w:val="clear" w:color="auto" w:fill="C00000"/>
            <w:noWrap/>
            <w:vAlign w:val="bottom"/>
            <w:hideMark/>
          </w:tcPr>
          <w:p w14:paraId="3A2EC96D" w14:textId="09EE42C0" w:rsidR="00C627D5" w:rsidRPr="005B30AF" w:rsidRDefault="00C627D5" w:rsidP="005B30AF">
            <w:pPr>
              <w:jc w:val="center"/>
              <w:rPr>
                <w:rStyle w:val="nfasissutil"/>
                <w:color w:val="FFFFFF" w:themeColor="background1"/>
                <w:sz w:val="16"/>
                <w:szCs w:val="16"/>
              </w:rPr>
            </w:pPr>
            <w:r w:rsidRPr="005B30AF">
              <w:rPr>
                <w:rStyle w:val="nfasissutil"/>
                <w:color w:val="FFFFFF" w:themeColor="background1"/>
                <w:sz w:val="16"/>
                <w:szCs w:val="16"/>
              </w:rPr>
              <w:t>%</w:t>
            </w:r>
          </w:p>
        </w:tc>
      </w:tr>
      <w:tr w:rsidR="00C627D5" w:rsidRPr="005B30AF" w14:paraId="2AF73F77" w14:textId="77777777" w:rsidTr="005B30AF">
        <w:trPr>
          <w:trHeight w:val="262"/>
        </w:trPr>
        <w:tc>
          <w:tcPr>
            <w:tcW w:w="2850" w:type="dxa"/>
            <w:tcBorders>
              <w:top w:val="nil"/>
              <w:left w:val="nil"/>
              <w:bottom w:val="nil"/>
              <w:right w:val="nil"/>
            </w:tcBorders>
            <w:shd w:val="clear" w:color="auto" w:fill="auto"/>
            <w:noWrap/>
            <w:vAlign w:val="bottom"/>
            <w:hideMark/>
          </w:tcPr>
          <w:p w14:paraId="7A5F65A8" w14:textId="77777777" w:rsidR="00C627D5" w:rsidRPr="005B30AF" w:rsidRDefault="00C627D5" w:rsidP="00084399">
            <w:pPr>
              <w:rPr>
                <w:sz w:val="16"/>
                <w:szCs w:val="16"/>
              </w:rPr>
            </w:pPr>
            <w:r w:rsidRPr="005B30AF">
              <w:rPr>
                <w:sz w:val="16"/>
                <w:szCs w:val="16"/>
              </w:rPr>
              <w:t>Alquileres y cánones</w:t>
            </w:r>
          </w:p>
        </w:tc>
        <w:tc>
          <w:tcPr>
            <w:tcW w:w="1900" w:type="dxa"/>
            <w:tcBorders>
              <w:top w:val="nil"/>
              <w:left w:val="nil"/>
              <w:bottom w:val="nil"/>
              <w:right w:val="nil"/>
            </w:tcBorders>
            <w:shd w:val="clear" w:color="auto" w:fill="auto"/>
            <w:noWrap/>
            <w:vAlign w:val="bottom"/>
            <w:hideMark/>
          </w:tcPr>
          <w:p w14:paraId="38CBD5EB" w14:textId="7D09B282" w:rsidR="00C627D5" w:rsidRPr="005B30AF" w:rsidRDefault="00C551BC" w:rsidP="005B30AF">
            <w:pPr>
              <w:jc w:val="center"/>
              <w:rPr>
                <w:sz w:val="16"/>
                <w:szCs w:val="16"/>
              </w:rPr>
            </w:pPr>
            <w:r>
              <w:rPr>
                <w:sz w:val="16"/>
                <w:szCs w:val="16"/>
              </w:rPr>
              <w:t>(232.077)</w:t>
            </w:r>
          </w:p>
        </w:tc>
        <w:tc>
          <w:tcPr>
            <w:tcW w:w="1701" w:type="dxa"/>
            <w:tcBorders>
              <w:top w:val="nil"/>
              <w:left w:val="nil"/>
              <w:bottom w:val="nil"/>
              <w:right w:val="nil"/>
            </w:tcBorders>
            <w:shd w:val="clear" w:color="auto" w:fill="auto"/>
            <w:noWrap/>
            <w:vAlign w:val="bottom"/>
            <w:hideMark/>
          </w:tcPr>
          <w:p w14:paraId="7EDA63D2" w14:textId="4791774F" w:rsidR="00C627D5" w:rsidRPr="005B30AF" w:rsidRDefault="00C627D5" w:rsidP="005B30AF">
            <w:pPr>
              <w:jc w:val="center"/>
              <w:rPr>
                <w:sz w:val="16"/>
                <w:szCs w:val="16"/>
              </w:rPr>
            </w:pPr>
            <w:r w:rsidRPr="005B30AF">
              <w:rPr>
                <w:sz w:val="16"/>
                <w:szCs w:val="16"/>
              </w:rPr>
              <w:t>(</w:t>
            </w:r>
            <w:r w:rsidR="00C551BC">
              <w:rPr>
                <w:sz w:val="16"/>
                <w:szCs w:val="16"/>
              </w:rPr>
              <w:t>287.816</w:t>
            </w:r>
            <w:r w:rsidRPr="005B30AF">
              <w:rPr>
                <w:sz w:val="16"/>
                <w:szCs w:val="16"/>
              </w:rPr>
              <w:t>)</w:t>
            </w:r>
          </w:p>
        </w:tc>
        <w:tc>
          <w:tcPr>
            <w:tcW w:w="578" w:type="dxa"/>
            <w:tcBorders>
              <w:top w:val="nil"/>
              <w:left w:val="nil"/>
              <w:bottom w:val="nil"/>
              <w:right w:val="nil"/>
            </w:tcBorders>
            <w:shd w:val="clear" w:color="auto" w:fill="auto"/>
            <w:noWrap/>
            <w:vAlign w:val="bottom"/>
            <w:hideMark/>
          </w:tcPr>
          <w:p w14:paraId="1B346C1F" w14:textId="48C02BB1" w:rsidR="00C627D5" w:rsidRPr="005B30AF" w:rsidRDefault="00C551BC" w:rsidP="005B30AF">
            <w:pPr>
              <w:jc w:val="center"/>
              <w:rPr>
                <w:sz w:val="16"/>
                <w:szCs w:val="16"/>
              </w:rPr>
            </w:pPr>
            <w:r>
              <w:rPr>
                <w:sz w:val="16"/>
                <w:szCs w:val="16"/>
              </w:rPr>
              <w:t>55.739</w:t>
            </w:r>
          </w:p>
        </w:tc>
        <w:tc>
          <w:tcPr>
            <w:tcW w:w="972" w:type="dxa"/>
            <w:tcBorders>
              <w:top w:val="nil"/>
              <w:left w:val="nil"/>
              <w:bottom w:val="nil"/>
              <w:right w:val="nil"/>
            </w:tcBorders>
            <w:shd w:val="clear" w:color="auto" w:fill="auto"/>
            <w:noWrap/>
            <w:vAlign w:val="bottom"/>
            <w:hideMark/>
          </w:tcPr>
          <w:p w14:paraId="4524AC6A" w14:textId="3954706E" w:rsidR="00C627D5" w:rsidRPr="005B30AF" w:rsidRDefault="00C551BC" w:rsidP="005B30AF">
            <w:pPr>
              <w:jc w:val="center"/>
              <w:rPr>
                <w:sz w:val="16"/>
                <w:szCs w:val="16"/>
              </w:rPr>
            </w:pPr>
            <w:r>
              <w:rPr>
                <w:sz w:val="16"/>
                <w:szCs w:val="16"/>
              </w:rPr>
              <w:t>16</w:t>
            </w:r>
            <w:r w:rsidR="00C627D5" w:rsidRPr="005B30AF">
              <w:rPr>
                <w:sz w:val="16"/>
                <w:szCs w:val="16"/>
              </w:rPr>
              <w:t>%</w:t>
            </w:r>
          </w:p>
        </w:tc>
      </w:tr>
    </w:tbl>
    <w:p w14:paraId="7A34CC33" w14:textId="77777777" w:rsidR="00177491" w:rsidRPr="00EB6871" w:rsidRDefault="00177491" w:rsidP="00084399"/>
    <w:p w14:paraId="229528C1" w14:textId="27B97BDB" w:rsidR="00177491" w:rsidRPr="00EB6871" w:rsidRDefault="00177491" w:rsidP="00FA1E85">
      <w:pPr>
        <w:jc w:val="left"/>
      </w:pPr>
      <w:r w:rsidRPr="00EB6871">
        <w:t xml:space="preserve">En esta partida se recoge </w:t>
      </w:r>
      <w:r w:rsidR="00C551BC">
        <w:t>un incremento</w:t>
      </w:r>
      <w:r w:rsidRPr="00EB6871">
        <w:t xml:space="preserve"> de gasto </w:t>
      </w:r>
      <w:r w:rsidR="00816A3A">
        <w:t xml:space="preserve">de </w:t>
      </w:r>
      <w:r w:rsidR="00C551BC">
        <w:t>56</w:t>
      </w:r>
      <w:r w:rsidRPr="00EB6871">
        <w:t xml:space="preserve"> k€ </w:t>
      </w:r>
      <w:r w:rsidR="00816A3A">
        <w:t>correspondiente a</w:t>
      </w:r>
      <w:r w:rsidRPr="00EB6871">
        <w:t xml:space="preserve"> alquileres en el presupuesto de 202</w:t>
      </w:r>
      <w:r w:rsidR="00C551BC">
        <w:t>2</w:t>
      </w:r>
      <w:r w:rsidRPr="00EB6871">
        <w:t>. En la partida de servicios generales que hace referencia a los gastos de alquiler de oficinas</w:t>
      </w:r>
      <w:r w:rsidR="00F63CB2">
        <w:t>, así como de alquiler de espacios, mobiliario o equipos técnicos para la realización de eventos</w:t>
      </w:r>
      <w:r w:rsidR="007159CC">
        <w:t xml:space="preserve"> en los distintos programas.</w:t>
      </w:r>
    </w:p>
    <w:p w14:paraId="4F493500" w14:textId="6C6FA7C2" w:rsidR="00177491" w:rsidRPr="00EB6871" w:rsidRDefault="00E93F0B" w:rsidP="00FA1E85">
      <w:pPr>
        <w:jc w:val="left"/>
      </w:pPr>
      <w:r>
        <w:t>Hay</w:t>
      </w:r>
      <w:r w:rsidR="00177491" w:rsidRPr="000408BA">
        <w:t xml:space="preserve"> un </w:t>
      </w:r>
      <w:r w:rsidR="00D32C7A">
        <w:t>incremento</w:t>
      </w:r>
      <w:r w:rsidR="00FB47C3">
        <w:t xml:space="preserve"> del gasto de </w:t>
      </w:r>
      <w:r>
        <w:t>7</w:t>
      </w:r>
      <w:r w:rsidR="00FB47C3" w:rsidRPr="000408BA">
        <w:t xml:space="preserve">k€ </w:t>
      </w:r>
      <w:r w:rsidR="00177491" w:rsidRPr="000408BA">
        <w:t>para 202</w:t>
      </w:r>
      <w:r>
        <w:t>2</w:t>
      </w:r>
      <w:r w:rsidR="00177491" w:rsidRPr="000408BA">
        <w:t xml:space="preserve"> </w:t>
      </w:r>
      <w:r w:rsidR="00FB47C3">
        <w:t>en concepto de</w:t>
      </w:r>
      <w:r w:rsidR="00177491" w:rsidRPr="000408BA">
        <w:t xml:space="preserve"> alquiler de espacios para celebrar los distintos eventos que tiene programado Digital Future Society</w:t>
      </w:r>
      <w:r w:rsidR="00FB47C3">
        <w:t xml:space="preserve">. </w:t>
      </w:r>
      <w:r w:rsidR="00EE5750">
        <w:t xml:space="preserve">Barcelona </w:t>
      </w:r>
      <w:r w:rsidR="00177491" w:rsidRPr="00EB6871">
        <w:t xml:space="preserve">Digital Talent también prevé realizar algún gasto en alquiler de espacios </w:t>
      </w:r>
      <w:r w:rsidR="00617FFE">
        <w:t xml:space="preserve">y equipos técnicos para </w:t>
      </w:r>
      <w:r w:rsidR="008663AE">
        <w:t>realizar pilotos rurales, así como otros posibles eventos</w:t>
      </w:r>
      <w:r w:rsidR="008565E8">
        <w:t xml:space="preserve"> y aumenta en 36 k€</w:t>
      </w:r>
      <w:r w:rsidR="00177491" w:rsidRPr="00EB6871">
        <w:t xml:space="preserve"> el gasto Por último, el Observatorio Nacional 5G prevé una partida de gasto de alquileres para realizar seminarios y jornadas que en 202</w:t>
      </w:r>
      <w:r w:rsidR="00780702">
        <w:t>1</w:t>
      </w:r>
      <w:r w:rsidR="00177491" w:rsidRPr="00EB6871">
        <w:t xml:space="preserve"> no se han producido y hace que haya un </w:t>
      </w:r>
      <w:r w:rsidR="001C6EA1" w:rsidRPr="00EB6871">
        <w:t>coste adicional</w:t>
      </w:r>
      <w:r w:rsidR="00177491" w:rsidRPr="00EB6871">
        <w:t xml:space="preserve"> d</w:t>
      </w:r>
      <w:r w:rsidR="003E6E87" w:rsidRPr="00EB6871">
        <w:t xml:space="preserve">e </w:t>
      </w:r>
      <w:r w:rsidR="0062623F">
        <w:t>12</w:t>
      </w:r>
      <w:r w:rsidR="003E6E87" w:rsidRPr="00EB6871">
        <w:t>k€.</w:t>
      </w:r>
      <w:r w:rsidR="00177491" w:rsidRPr="00EB6871">
        <w:t xml:space="preserve"> </w:t>
      </w:r>
    </w:p>
    <w:p w14:paraId="7AA759E3" w14:textId="77777777" w:rsidR="00ED2ADF" w:rsidRPr="00EB6871" w:rsidRDefault="00ED2ADF" w:rsidP="00084399"/>
    <w:p w14:paraId="5C4B480D" w14:textId="5464F83B" w:rsidR="00177491" w:rsidRPr="003B086D" w:rsidRDefault="00C63CFF" w:rsidP="00084399">
      <w:pPr>
        <w:rPr>
          <w:rStyle w:val="nfasissutil"/>
        </w:rPr>
      </w:pPr>
      <w:r w:rsidRPr="003B086D">
        <w:rPr>
          <w:rStyle w:val="nfasissutil"/>
        </w:rPr>
        <w:lastRenderedPageBreak/>
        <w:t xml:space="preserve">b. </w:t>
      </w:r>
      <w:r w:rsidR="00177491" w:rsidRPr="003B086D">
        <w:rPr>
          <w:rStyle w:val="nfasissutil"/>
        </w:rPr>
        <w:t>Reparación y conservación</w:t>
      </w:r>
    </w:p>
    <w:tbl>
      <w:tblPr>
        <w:tblW w:w="8687" w:type="dxa"/>
        <w:tblInd w:w="70" w:type="dxa"/>
        <w:tblCellMar>
          <w:left w:w="70" w:type="dxa"/>
          <w:right w:w="70" w:type="dxa"/>
        </w:tblCellMar>
        <w:tblLook w:val="04A0" w:firstRow="1" w:lastRow="0" w:firstColumn="1" w:lastColumn="0" w:noHBand="0" w:noVBand="1"/>
      </w:tblPr>
      <w:tblGrid>
        <w:gridCol w:w="1059"/>
        <w:gridCol w:w="2049"/>
        <w:gridCol w:w="1925"/>
        <w:gridCol w:w="1701"/>
        <w:gridCol w:w="972"/>
        <w:gridCol w:w="1059"/>
      </w:tblGrid>
      <w:tr w:rsidR="00C627D5" w:rsidRPr="00BD5700" w14:paraId="785FF967" w14:textId="77777777" w:rsidTr="00BD5700">
        <w:trPr>
          <w:trHeight w:val="321"/>
        </w:trPr>
        <w:tc>
          <w:tcPr>
            <w:tcW w:w="1059" w:type="dxa"/>
            <w:tcBorders>
              <w:top w:val="nil"/>
              <w:left w:val="nil"/>
              <w:bottom w:val="nil"/>
              <w:right w:val="nil"/>
            </w:tcBorders>
            <w:shd w:val="clear" w:color="auto" w:fill="auto"/>
            <w:noWrap/>
            <w:vAlign w:val="bottom"/>
            <w:hideMark/>
          </w:tcPr>
          <w:p w14:paraId="6A3F74E9" w14:textId="77777777" w:rsidR="00C627D5" w:rsidRPr="00BD5700" w:rsidRDefault="00C627D5" w:rsidP="00084399">
            <w:pPr>
              <w:rPr>
                <w:sz w:val="16"/>
                <w:szCs w:val="16"/>
                <w:lang w:eastAsia="es-ES"/>
              </w:rPr>
            </w:pPr>
          </w:p>
        </w:tc>
        <w:tc>
          <w:tcPr>
            <w:tcW w:w="2049" w:type="dxa"/>
            <w:tcBorders>
              <w:top w:val="nil"/>
              <w:left w:val="nil"/>
              <w:bottom w:val="nil"/>
              <w:right w:val="nil"/>
            </w:tcBorders>
            <w:shd w:val="clear" w:color="auto" w:fill="auto"/>
            <w:noWrap/>
            <w:vAlign w:val="bottom"/>
            <w:hideMark/>
          </w:tcPr>
          <w:p w14:paraId="1F74FDFE" w14:textId="77777777" w:rsidR="00C627D5" w:rsidRPr="00BD5700" w:rsidRDefault="00C627D5" w:rsidP="00084399">
            <w:pPr>
              <w:rPr>
                <w:sz w:val="16"/>
                <w:szCs w:val="16"/>
                <w:lang w:eastAsia="es-ES"/>
              </w:rPr>
            </w:pPr>
          </w:p>
        </w:tc>
        <w:tc>
          <w:tcPr>
            <w:tcW w:w="1925" w:type="dxa"/>
            <w:tcBorders>
              <w:top w:val="nil"/>
              <w:left w:val="nil"/>
              <w:bottom w:val="nil"/>
              <w:right w:val="nil"/>
            </w:tcBorders>
            <w:shd w:val="clear" w:color="auto" w:fill="C00000"/>
            <w:noWrap/>
            <w:vAlign w:val="bottom"/>
            <w:hideMark/>
          </w:tcPr>
          <w:p w14:paraId="6640B510" w14:textId="3E5F9B77" w:rsidR="00C627D5" w:rsidRPr="00BD5700" w:rsidRDefault="00C627D5" w:rsidP="0032797B">
            <w:pPr>
              <w:jc w:val="center"/>
              <w:rPr>
                <w:rStyle w:val="nfasissutil"/>
                <w:color w:val="FFFFFF" w:themeColor="background1"/>
                <w:sz w:val="16"/>
                <w:szCs w:val="16"/>
              </w:rPr>
            </w:pPr>
            <w:r w:rsidRPr="00BD5700">
              <w:rPr>
                <w:rStyle w:val="nfasissutil"/>
                <w:color w:val="FFFFFF" w:themeColor="background1"/>
                <w:sz w:val="16"/>
                <w:szCs w:val="16"/>
              </w:rPr>
              <w:t>Previsión cierre 202</w:t>
            </w:r>
            <w:r w:rsidR="00DD4CC9">
              <w:rPr>
                <w:rStyle w:val="nfasissutil"/>
                <w:color w:val="FFFFFF" w:themeColor="background1"/>
                <w:sz w:val="16"/>
                <w:szCs w:val="16"/>
              </w:rPr>
              <w:t>1</w:t>
            </w:r>
          </w:p>
        </w:tc>
        <w:tc>
          <w:tcPr>
            <w:tcW w:w="1701" w:type="dxa"/>
            <w:tcBorders>
              <w:top w:val="nil"/>
              <w:left w:val="nil"/>
              <w:bottom w:val="nil"/>
              <w:right w:val="nil"/>
            </w:tcBorders>
            <w:shd w:val="clear" w:color="auto" w:fill="C00000"/>
            <w:noWrap/>
            <w:vAlign w:val="bottom"/>
            <w:hideMark/>
          </w:tcPr>
          <w:p w14:paraId="5B6F2511" w14:textId="34DD1F2A" w:rsidR="00C627D5" w:rsidRPr="00BD5700" w:rsidRDefault="00C627D5" w:rsidP="0032797B">
            <w:pPr>
              <w:jc w:val="center"/>
              <w:rPr>
                <w:rStyle w:val="nfasissutil"/>
                <w:color w:val="FFFFFF" w:themeColor="background1"/>
                <w:sz w:val="16"/>
                <w:szCs w:val="16"/>
              </w:rPr>
            </w:pPr>
            <w:r w:rsidRPr="00BD5700">
              <w:rPr>
                <w:rStyle w:val="nfasissutil"/>
                <w:color w:val="FFFFFF" w:themeColor="background1"/>
                <w:sz w:val="16"/>
                <w:szCs w:val="16"/>
              </w:rPr>
              <w:t>Presupuesto 202</w:t>
            </w:r>
            <w:r w:rsidR="00DD4CC9">
              <w:rPr>
                <w:rStyle w:val="nfasissutil"/>
                <w:color w:val="FFFFFF" w:themeColor="background1"/>
                <w:sz w:val="16"/>
                <w:szCs w:val="16"/>
              </w:rPr>
              <w:t>2</w:t>
            </w:r>
          </w:p>
        </w:tc>
        <w:tc>
          <w:tcPr>
            <w:tcW w:w="894" w:type="dxa"/>
            <w:tcBorders>
              <w:top w:val="nil"/>
              <w:left w:val="nil"/>
              <w:bottom w:val="nil"/>
              <w:right w:val="nil"/>
            </w:tcBorders>
            <w:shd w:val="clear" w:color="auto" w:fill="C00000"/>
            <w:noWrap/>
            <w:vAlign w:val="bottom"/>
            <w:hideMark/>
          </w:tcPr>
          <w:p w14:paraId="51EDD97D" w14:textId="77777777" w:rsidR="00C627D5" w:rsidRPr="00BD5700" w:rsidRDefault="00C627D5" w:rsidP="0032797B">
            <w:pPr>
              <w:jc w:val="center"/>
              <w:rPr>
                <w:rStyle w:val="nfasissutil"/>
                <w:color w:val="FFFFFF" w:themeColor="background1"/>
                <w:sz w:val="16"/>
                <w:szCs w:val="16"/>
              </w:rPr>
            </w:pPr>
            <w:r w:rsidRPr="00BD5700">
              <w:rPr>
                <w:rStyle w:val="nfasissutil"/>
                <w:color w:val="FFFFFF" w:themeColor="background1"/>
                <w:sz w:val="16"/>
                <w:szCs w:val="16"/>
              </w:rPr>
              <w:t>Diferencia</w:t>
            </w:r>
          </w:p>
        </w:tc>
        <w:tc>
          <w:tcPr>
            <w:tcW w:w="1059" w:type="dxa"/>
            <w:tcBorders>
              <w:top w:val="nil"/>
              <w:left w:val="nil"/>
              <w:bottom w:val="nil"/>
              <w:right w:val="nil"/>
            </w:tcBorders>
            <w:shd w:val="clear" w:color="auto" w:fill="C00000"/>
            <w:noWrap/>
            <w:vAlign w:val="bottom"/>
            <w:hideMark/>
          </w:tcPr>
          <w:p w14:paraId="2CBD61DC" w14:textId="5894A814" w:rsidR="00C627D5" w:rsidRPr="00BD5700" w:rsidRDefault="00C627D5" w:rsidP="0032797B">
            <w:pPr>
              <w:jc w:val="center"/>
              <w:rPr>
                <w:rStyle w:val="nfasissutil"/>
                <w:color w:val="FFFFFF" w:themeColor="background1"/>
                <w:sz w:val="16"/>
                <w:szCs w:val="16"/>
              </w:rPr>
            </w:pPr>
            <w:r w:rsidRPr="00BD5700">
              <w:rPr>
                <w:rStyle w:val="nfasissutil"/>
                <w:color w:val="FFFFFF" w:themeColor="background1"/>
                <w:sz w:val="16"/>
                <w:szCs w:val="16"/>
              </w:rPr>
              <w:t>%</w:t>
            </w:r>
          </w:p>
        </w:tc>
      </w:tr>
      <w:tr w:rsidR="00C627D5" w:rsidRPr="00BD5700" w14:paraId="0908D4A4" w14:textId="77777777" w:rsidTr="00BD5700">
        <w:trPr>
          <w:trHeight w:val="321"/>
        </w:trPr>
        <w:tc>
          <w:tcPr>
            <w:tcW w:w="3108" w:type="dxa"/>
            <w:gridSpan w:val="2"/>
            <w:tcBorders>
              <w:top w:val="nil"/>
              <w:left w:val="nil"/>
              <w:bottom w:val="nil"/>
              <w:right w:val="nil"/>
            </w:tcBorders>
            <w:shd w:val="clear" w:color="auto" w:fill="auto"/>
            <w:noWrap/>
            <w:vAlign w:val="bottom"/>
            <w:hideMark/>
          </w:tcPr>
          <w:p w14:paraId="14EFE55F" w14:textId="77777777" w:rsidR="00C627D5" w:rsidRPr="00BD5700" w:rsidRDefault="00C627D5" w:rsidP="00084399">
            <w:pPr>
              <w:rPr>
                <w:sz w:val="16"/>
                <w:szCs w:val="16"/>
                <w:lang w:eastAsia="es-ES"/>
              </w:rPr>
            </w:pPr>
            <w:r w:rsidRPr="00BD5700">
              <w:rPr>
                <w:sz w:val="16"/>
                <w:szCs w:val="16"/>
                <w:lang w:eastAsia="es-ES"/>
              </w:rPr>
              <w:t>Reparaciones y conservación</w:t>
            </w:r>
          </w:p>
        </w:tc>
        <w:tc>
          <w:tcPr>
            <w:tcW w:w="1925" w:type="dxa"/>
            <w:tcBorders>
              <w:top w:val="nil"/>
              <w:left w:val="nil"/>
              <w:bottom w:val="nil"/>
              <w:right w:val="nil"/>
            </w:tcBorders>
            <w:shd w:val="clear" w:color="auto" w:fill="auto"/>
            <w:noWrap/>
            <w:vAlign w:val="bottom"/>
            <w:hideMark/>
          </w:tcPr>
          <w:p w14:paraId="523F3837" w14:textId="21684B6E" w:rsidR="00C627D5" w:rsidRPr="00BD5700" w:rsidRDefault="00C627D5" w:rsidP="0032797B">
            <w:pPr>
              <w:jc w:val="center"/>
              <w:rPr>
                <w:sz w:val="16"/>
                <w:szCs w:val="16"/>
                <w:lang w:eastAsia="es-ES"/>
              </w:rPr>
            </w:pPr>
            <w:r w:rsidRPr="00BD5700">
              <w:rPr>
                <w:sz w:val="16"/>
                <w:szCs w:val="16"/>
                <w:lang w:eastAsia="es-ES"/>
              </w:rPr>
              <w:t>(</w:t>
            </w:r>
            <w:r w:rsidR="00612A7C">
              <w:rPr>
                <w:sz w:val="16"/>
                <w:szCs w:val="16"/>
                <w:lang w:eastAsia="es-ES"/>
              </w:rPr>
              <w:t>53.444)</w:t>
            </w:r>
          </w:p>
        </w:tc>
        <w:tc>
          <w:tcPr>
            <w:tcW w:w="1701" w:type="dxa"/>
            <w:tcBorders>
              <w:top w:val="nil"/>
              <w:left w:val="nil"/>
              <w:bottom w:val="nil"/>
              <w:right w:val="nil"/>
            </w:tcBorders>
            <w:shd w:val="clear" w:color="auto" w:fill="auto"/>
            <w:noWrap/>
            <w:vAlign w:val="bottom"/>
            <w:hideMark/>
          </w:tcPr>
          <w:p w14:paraId="5E5C737D" w14:textId="58B990E4" w:rsidR="00C627D5" w:rsidRPr="00BD5700" w:rsidRDefault="00C627D5" w:rsidP="0032797B">
            <w:pPr>
              <w:jc w:val="center"/>
              <w:rPr>
                <w:sz w:val="16"/>
                <w:szCs w:val="16"/>
                <w:lang w:eastAsia="es-ES"/>
              </w:rPr>
            </w:pPr>
            <w:r w:rsidRPr="00BD5700">
              <w:rPr>
                <w:sz w:val="16"/>
                <w:szCs w:val="16"/>
                <w:lang w:eastAsia="es-ES"/>
              </w:rPr>
              <w:t>(</w:t>
            </w:r>
            <w:r w:rsidR="00612A7C">
              <w:rPr>
                <w:sz w:val="16"/>
                <w:szCs w:val="16"/>
                <w:lang w:eastAsia="es-ES"/>
              </w:rPr>
              <w:t>58.201</w:t>
            </w:r>
            <w:r w:rsidRPr="00BD5700">
              <w:rPr>
                <w:sz w:val="16"/>
                <w:szCs w:val="16"/>
                <w:lang w:eastAsia="es-ES"/>
              </w:rPr>
              <w:t>)</w:t>
            </w:r>
          </w:p>
        </w:tc>
        <w:tc>
          <w:tcPr>
            <w:tcW w:w="894" w:type="dxa"/>
            <w:tcBorders>
              <w:top w:val="nil"/>
              <w:left w:val="nil"/>
              <w:bottom w:val="nil"/>
              <w:right w:val="nil"/>
            </w:tcBorders>
            <w:shd w:val="clear" w:color="auto" w:fill="auto"/>
            <w:noWrap/>
            <w:vAlign w:val="bottom"/>
            <w:hideMark/>
          </w:tcPr>
          <w:p w14:paraId="1BC776A0" w14:textId="5872800E" w:rsidR="00C627D5" w:rsidRPr="00BD5700" w:rsidRDefault="00612A7C" w:rsidP="0032797B">
            <w:pPr>
              <w:jc w:val="center"/>
              <w:rPr>
                <w:sz w:val="16"/>
                <w:szCs w:val="16"/>
                <w:lang w:eastAsia="es-ES"/>
              </w:rPr>
            </w:pPr>
            <w:r>
              <w:rPr>
                <w:sz w:val="16"/>
                <w:szCs w:val="16"/>
                <w:lang w:eastAsia="es-ES"/>
              </w:rPr>
              <w:t>4.757</w:t>
            </w:r>
          </w:p>
        </w:tc>
        <w:tc>
          <w:tcPr>
            <w:tcW w:w="1059" w:type="dxa"/>
            <w:tcBorders>
              <w:top w:val="nil"/>
              <w:left w:val="nil"/>
              <w:bottom w:val="nil"/>
              <w:right w:val="nil"/>
            </w:tcBorders>
            <w:shd w:val="clear" w:color="auto" w:fill="auto"/>
            <w:noWrap/>
            <w:vAlign w:val="bottom"/>
            <w:hideMark/>
          </w:tcPr>
          <w:p w14:paraId="4E1EA766" w14:textId="61AFD610" w:rsidR="00C627D5" w:rsidRPr="00BD5700" w:rsidRDefault="00612A7C" w:rsidP="0032797B">
            <w:pPr>
              <w:jc w:val="center"/>
              <w:rPr>
                <w:sz w:val="16"/>
                <w:szCs w:val="16"/>
                <w:lang w:eastAsia="es-ES"/>
              </w:rPr>
            </w:pPr>
            <w:r>
              <w:rPr>
                <w:sz w:val="16"/>
                <w:szCs w:val="16"/>
                <w:lang w:eastAsia="es-ES"/>
              </w:rPr>
              <w:t>9</w:t>
            </w:r>
            <w:r w:rsidR="00C627D5" w:rsidRPr="00BD5700">
              <w:rPr>
                <w:sz w:val="16"/>
                <w:szCs w:val="16"/>
                <w:lang w:eastAsia="es-ES"/>
              </w:rPr>
              <w:t>%</w:t>
            </w:r>
          </w:p>
        </w:tc>
      </w:tr>
    </w:tbl>
    <w:p w14:paraId="2DC818DF" w14:textId="77777777" w:rsidR="00177491" w:rsidRPr="00EB6871" w:rsidRDefault="00177491" w:rsidP="00084399"/>
    <w:p w14:paraId="6A85A448" w14:textId="3F35B5EA" w:rsidR="00177491" w:rsidRDefault="00177491" w:rsidP="00D83904">
      <w:pPr>
        <w:jc w:val="left"/>
      </w:pPr>
      <w:r w:rsidRPr="00EB6871">
        <w:t xml:space="preserve">En esta partida se incluyen los gastos asociados al mantenimiento y limpieza de las oficinas de </w:t>
      </w:r>
      <w:r w:rsidR="00EE5750">
        <w:t>MWCapital</w:t>
      </w:r>
      <w:r w:rsidR="004F68FF">
        <w:t xml:space="preserve"> así como de</w:t>
      </w:r>
      <w:r w:rsidR="00050787">
        <w:t xml:space="preserve"> algunos eventos como el MWC Barcelona que suele necesitar servicio de limpieza</w:t>
      </w:r>
      <w:r w:rsidRPr="00EB6871">
        <w:t>. En 202</w:t>
      </w:r>
      <w:r w:rsidR="00050787">
        <w:t>2</w:t>
      </w:r>
      <w:r w:rsidRPr="00EB6871">
        <w:t>, esta partida recoge un</w:t>
      </w:r>
      <w:r w:rsidR="00050787">
        <w:t xml:space="preserve"> pequeño incremento por 5 k€, ya que, durante el 2022 se realizará</w:t>
      </w:r>
      <w:r w:rsidR="00D83904">
        <w:t>n actividades para la celebración de X aniversario de la Fundación.</w:t>
      </w:r>
    </w:p>
    <w:p w14:paraId="0A909E97" w14:textId="77777777" w:rsidR="00D83904" w:rsidRDefault="00D83904" w:rsidP="00D83904">
      <w:pPr>
        <w:jc w:val="left"/>
      </w:pPr>
    </w:p>
    <w:p w14:paraId="2263D09D" w14:textId="016F2AAA" w:rsidR="00177491" w:rsidRPr="003B086D" w:rsidRDefault="00177491" w:rsidP="00084399">
      <w:pPr>
        <w:rPr>
          <w:rStyle w:val="nfasissutil"/>
        </w:rPr>
      </w:pPr>
      <w:r w:rsidRPr="003B086D">
        <w:rPr>
          <w:rStyle w:val="nfasissutil"/>
        </w:rPr>
        <w:t xml:space="preserve"> </w:t>
      </w:r>
      <w:r w:rsidR="00C63CFF" w:rsidRPr="003B086D">
        <w:rPr>
          <w:rStyle w:val="nfasissutil"/>
        </w:rPr>
        <w:t xml:space="preserve">c. </w:t>
      </w:r>
      <w:r w:rsidRPr="003B086D">
        <w:rPr>
          <w:rStyle w:val="nfasissutil"/>
        </w:rPr>
        <w:t>Servicios Profesionales Independientes</w:t>
      </w:r>
    </w:p>
    <w:tbl>
      <w:tblPr>
        <w:tblW w:w="8708" w:type="dxa"/>
        <w:tblInd w:w="70" w:type="dxa"/>
        <w:tblCellMar>
          <w:left w:w="70" w:type="dxa"/>
          <w:right w:w="70" w:type="dxa"/>
        </w:tblCellMar>
        <w:tblLook w:val="04A0" w:firstRow="1" w:lastRow="0" w:firstColumn="1" w:lastColumn="0" w:noHBand="0" w:noVBand="1"/>
      </w:tblPr>
      <w:tblGrid>
        <w:gridCol w:w="1062"/>
        <w:gridCol w:w="2053"/>
        <w:gridCol w:w="1918"/>
        <w:gridCol w:w="1701"/>
        <w:gridCol w:w="972"/>
        <w:gridCol w:w="1062"/>
      </w:tblGrid>
      <w:tr w:rsidR="00C627D5" w:rsidRPr="0032797B" w14:paraId="03FFCBC3" w14:textId="77777777" w:rsidTr="0032797B">
        <w:trPr>
          <w:trHeight w:val="327"/>
        </w:trPr>
        <w:tc>
          <w:tcPr>
            <w:tcW w:w="1062" w:type="dxa"/>
            <w:tcBorders>
              <w:top w:val="nil"/>
              <w:left w:val="nil"/>
              <w:bottom w:val="nil"/>
              <w:right w:val="nil"/>
            </w:tcBorders>
            <w:shd w:val="clear" w:color="auto" w:fill="auto"/>
            <w:noWrap/>
            <w:vAlign w:val="bottom"/>
            <w:hideMark/>
          </w:tcPr>
          <w:p w14:paraId="0216BDF3" w14:textId="77777777" w:rsidR="00C627D5" w:rsidRPr="0032797B" w:rsidRDefault="00C627D5" w:rsidP="00084399">
            <w:pPr>
              <w:rPr>
                <w:rFonts w:ascii="Graphik Black" w:hAnsi="Graphik Black"/>
                <w:sz w:val="16"/>
                <w:szCs w:val="16"/>
              </w:rPr>
            </w:pPr>
          </w:p>
        </w:tc>
        <w:tc>
          <w:tcPr>
            <w:tcW w:w="2053" w:type="dxa"/>
            <w:tcBorders>
              <w:top w:val="nil"/>
              <w:left w:val="nil"/>
              <w:bottom w:val="nil"/>
              <w:right w:val="nil"/>
            </w:tcBorders>
            <w:shd w:val="clear" w:color="auto" w:fill="auto"/>
            <w:noWrap/>
            <w:vAlign w:val="bottom"/>
            <w:hideMark/>
          </w:tcPr>
          <w:p w14:paraId="3D81C149" w14:textId="77777777" w:rsidR="00C627D5" w:rsidRPr="0032797B" w:rsidRDefault="00C627D5" w:rsidP="00084399">
            <w:pPr>
              <w:rPr>
                <w:rFonts w:ascii="Graphik Black" w:hAnsi="Graphik Black"/>
                <w:sz w:val="16"/>
                <w:szCs w:val="16"/>
              </w:rPr>
            </w:pPr>
          </w:p>
        </w:tc>
        <w:tc>
          <w:tcPr>
            <w:tcW w:w="1918" w:type="dxa"/>
            <w:tcBorders>
              <w:top w:val="nil"/>
              <w:left w:val="nil"/>
              <w:bottom w:val="nil"/>
              <w:right w:val="nil"/>
            </w:tcBorders>
            <w:shd w:val="clear" w:color="auto" w:fill="C00000"/>
            <w:noWrap/>
            <w:vAlign w:val="bottom"/>
            <w:hideMark/>
          </w:tcPr>
          <w:p w14:paraId="35E0D53B" w14:textId="2582789B" w:rsidR="00C627D5" w:rsidRPr="0032797B" w:rsidRDefault="00C627D5" w:rsidP="0032797B">
            <w:pPr>
              <w:jc w:val="center"/>
              <w:rPr>
                <w:rStyle w:val="nfasissutil"/>
                <w:color w:val="FFFFFF" w:themeColor="background1"/>
                <w:sz w:val="16"/>
                <w:szCs w:val="16"/>
              </w:rPr>
            </w:pPr>
            <w:r w:rsidRPr="0032797B">
              <w:rPr>
                <w:rStyle w:val="nfasissutil"/>
                <w:color w:val="FFFFFF" w:themeColor="background1"/>
                <w:sz w:val="16"/>
                <w:szCs w:val="16"/>
              </w:rPr>
              <w:t>Previsión cierre 202</w:t>
            </w:r>
            <w:r w:rsidR="00D83904">
              <w:rPr>
                <w:rStyle w:val="nfasissutil"/>
                <w:color w:val="FFFFFF" w:themeColor="background1"/>
                <w:sz w:val="16"/>
                <w:szCs w:val="16"/>
              </w:rPr>
              <w:t>1</w:t>
            </w:r>
          </w:p>
        </w:tc>
        <w:tc>
          <w:tcPr>
            <w:tcW w:w="1701" w:type="dxa"/>
            <w:tcBorders>
              <w:top w:val="nil"/>
              <w:left w:val="nil"/>
              <w:bottom w:val="nil"/>
              <w:right w:val="nil"/>
            </w:tcBorders>
            <w:shd w:val="clear" w:color="auto" w:fill="C00000"/>
            <w:noWrap/>
            <w:vAlign w:val="bottom"/>
            <w:hideMark/>
          </w:tcPr>
          <w:p w14:paraId="0D60FC66" w14:textId="2000018C" w:rsidR="00C627D5" w:rsidRPr="0032797B" w:rsidRDefault="00C627D5" w:rsidP="0032797B">
            <w:pPr>
              <w:jc w:val="center"/>
              <w:rPr>
                <w:rStyle w:val="nfasissutil"/>
                <w:color w:val="FFFFFF" w:themeColor="background1"/>
                <w:sz w:val="16"/>
                <w:szCs w:val="16"/>
              </w:rPr>
            </w:pPr>
            <w:r w:rsidRPr="0032797B">
              <w:rPr>
                <w:rStyle w:val="nfasissutil"/>
                <w:color w:val="FFFFFF" w:themeColor="background1"/>
                <w:sz w:val="16"/>
                <w:szCs w:val="16"/>
              </w:rPr>
              <w:t>Presupuesto 202</w:t>
            </w:r>
            <w:r w:rsidR="00D83904">
              <w:rPr>
                <w:rStyle w:val="nfasissutil"/>
                <w:color w:val="FFFFFF" w:themeColor="background1"/>
                <w:sz w:val="16"/>
                <w:szCs w:val="16"/>
              </w:rPr>
              <w:t>2</w:t>
            </w:r>
          </w:p>
        </w:tc>
        <w:tc>
          <w:tcPr>
            <w:tcW w:w="912" w:type="dxa"/>
            <w:tcBorders>
              <w:top w:val="nil"/>
              <w:left w:val="nil"/>
              <w:bottom w:val="nil"/>
              <w:right w:val="nil"/>
            </w:tcBorders>
            <w:shd w:val="clear" w:color="auto" w:fill="C00000"/>
            <w:noWrap/>
            <w:vAlign w:val="bottom"/>
            <w:hideMark/>
          </w:tcPr>
          <w:p w14:paraId="5CBF7EDD" w14:textId="77777777" w:rsidR="00C627D5" w:rsidRPr="0032797B" w:rsidRDefault="00C627D5" w:rsidP="0032797B">
            <w:pPr>
              <w:jc w:val="center"/>
              <w:rPr>
                <w:rStyle w:val="nfasissutil"/>
                <w:color w:val="FFFFFF" w:themeColor="background1"/>
                <w:sz w:val="16"/>
                <w:szCs w:val="16"/>
              </w:rPr>
            </w:pPr>
            <w:r w:rsidRPr="0032797B">
              <w:rPr>
                <w:rStyle w:val="nfasissutil"/>
                <w:color w:val="FFFFFF" w:themeColor="background1"/>
                <w:sz w:val="16"/>
                <w:szCs w:val="16"/>
              </w:rPr>
              <w:t>Diferencia</w:t>
            </w:r>
          </w:p>
        </w:tc>
        <w:tc>
          <w:tcPr>
            <w:tcW w:w="1062" w:type="dxa"/>
            <w:tcBorders>
              <w:top w:val="nil"/>
              <w:left w:val="nil"/>
              <w:bottom w:val="nil"/>
              <w:right w:val="nil"/>
            </w:tcBorders>
            <w:shd w:val="clear" w:color="auto" w:fill="C00000"/>
            <w:noWrap/>
            <w:vAlign w:val="bottom"/>
            <w:hideMark/>
          </w:tcPr>
          <w:p w14:paraId="3972CBC3" w14:textId="570AFB77" w:rsidR="00C627D5" w:rsidRPr="0032797B" w:rsidRDefault="00C627D5" w:rsidP="0032797B">
            <w:pPr>
              <w:jc w:val="center"/>
              <w:rPr>
                <w:rStyle w:val="nfasissutil"/>
                <w:color w:val="FFFFFF" w:themeColor="background1"/>
                <w:sz w:val="16"/>
                <w:szCs w:val="16"/>
              </w:rPr>
            </w:pPr>
            <w:r w:rsidRPr="0032797B">
              <w:rPr>
                <w:rStyle w:val="nfasissutil"/>
                <w:color w:val="FFFFFF" w:themeColor="background1"/>
                <w:sz w:val="16"/>
                <w:szCs w:val="16"/>
              </w:rPr>
              <w:t>%</w:t>
            </w:r>
          </w:p>
        </w:tc>
      </w:tr>
      <w:tr w:rsidR="00C627D5" w:rsidRPr="0032797B" w14:paraId="062A960A" w14:textId="77777777" w:rsidTr="0032797B">
        <w:trPr>
          <w:trHeight w:val="327"/>
        </w:trPr>
        <w:tc>
          <w:tcPr>
            <w:tcW w:w="3115" w:type="dxa"/>
            <w:gridSpan w:val="2"/>
            <w:tcBorders>
              <w:top w:val="nil"/>
              <w:left w:val="nil"/>
              <w:bottom w:val="nil"/>
              <w:right w:val="nil"/>
            </w:tcBorders>
            <w:shd w:val="clear" w:color="auto" w:fill="auto"/>
            <w:noWrap/>
            <w:vAlign w:val="bottom"/>
            <w:hideMark/>
          </w:tcPr>
          <w:p w14:paraId="0738BC1A" w14:textId="77777777" w:rsidR="00C627D5" w:rsidRPr="0032797B" w:rsidRDefault="00C627D5" w:rsidP="00084399">
            <w:pPr>
              <w:rPr>
                <w:sz w:val="16"/>
                <w:szCs w:val="16"/>
              </w:rPr>
            </w:pPr>
            <w:r w:rsidRPr="0032797B">
              <w:rPr>
                <w:sz w:val="16"/>
                <w:szCs w:val="16"/>
              </w:rPr>
              <w:t>Servicios prof.independientes</w:t>
            </w:r>
          </w:p>
        </w:tc>
        <w:tc>
          <w:tcPr>
            <w:tcW w:w="1918" w:type="dxa"/>
            <w:tcBorders>
              <w:top w:val="nil"/>
              <w:left w:val="nil"/>
              <w:bottom w:val="nil"/>
              <w:right w:val="nil"/>
            </w:tcBorders>
            <w:shd w:val="clear" w:color="auto" w:fill="auto"/>
            <w:noWrap/>
            <w:vAlign w:val="bottom"/>
            <w:hideMark/>
          </w:tcPr>
          <w:p w14:paraId="2694F721" w14:textId="48D1966F" w:rsidR="00C627D5" w:rsidRPr="0032797B" w:rsidRDefault="00C627D5" w:rsidP="0032797B">
            <w:pPr>
              <w:jc w:val="center"/>
              <w:rPr>
                <w:sz w:val="16"/>
                <w:szCs w:val="16"/>
              </w:rPr>
            </w:pPr>
            <w:r w:rsidRPr="0032797B">
              <w:rPr>
                <w:sz w:val="16"/>
                <w:szCs w:val="16"/>
              </w:rPr>
              <w:t>(</w:t>
            </w:r>
            <w:r w:rsidR="00FA64FC">
              <w:rPr>
                <w:sz w:val="16"/>
                <w:szCs w:val="16"/>
              </w:rPr>
              <w:t>1</w:t>
            </w:r>
            <w:r w:rsidR="00FA64FC" w:rsidRPr="00FA64FC">
              <w:rPr>
                <w:sz w:val="16"/>
                <w:szCs w:val="16"/>
              </w:rPr>
              <w:t>2.959.104</w:t>
            </w:r>
            <w:r w:rsidRPr="0032797B">
              <w:rPr>
                <w:sz w:val="16"/>
                <w:szCs w:val="16"/>
              </w:rPr>
              <w:t>)</w:t>
            </w:r>
          </w:p>
        </w:tc>
        <w:tc>
          <w:tcPr>
            <w:tcW w:w="1701" w:type="dxa"/>
            <w:tcBorders>
              <w:top w:val="nil"/>
              <w:left w:val="nil"/>
              <w:bottom w:val="nil"/>
              <w:right w:val="nil"/>
            </w:tcBorders>
            <w:shd w:val="clear" w:color="auto" w:fill="auto"/>
            <w:noWrap/>
            <w:vAlign w:val="bottom"/>
            <w:hideMark/>
          </w:tcPr>
          <w:p w14:paraId="3BD983FB" w14:textId="49669DB6" w:rsidR="00C627D5" w:rsidRPr="0032797B" w:rsidRDefault="00C627D5" w:rsidP="0032797B">
            <w:pPr>
              <w:jc w:val="center"/>
              <w:rPr>
                <w:sz w:val="16"/>
                <w:szCs w:val="16"/>
              </w:rPr>
            </w:pPr>
            <w:r w:rsidRPr="0032797B">
              <w:rPr>
                <w:sz w:val="16"/>
                <w:szCs w:val="16"/>
              </w:rPr>
              <w:t>(</w:t>
            </w:r>
            <w:r w:rsidR="00FA64FC">
              <w:rPr>
                <w:sz w:val="16"/>
                <w:szCs w:val="16"/>
              </w:rPr>
              <w:t>1</w:t>
            </w:r>
            <w:r w:rsidR="00FA64FC" w:rsidRPr="00FA64FC">
              <w:rPr>
                <w:sz w:val="16"/>
                <w:szCs w:val="16"/>
              </w:rPr>
              <w:t>4.2</w:t>
            </w:r>
            <w:r w:rsidR="002471A5">
              <w:rPr>
                <w:sz w:val="16"/>
                <w:szCs w:val="16"/>
              </w:rPr>
              <w:t>44</w:t>
            </w:r>
            <w:r w:rsidR="00FA64FC" w:rsidRPr="00FA64FC">
              <w:rPr>
                <w:sz w:val="16"/>
                <w:szCs w:val="16"/>
              </w:rPr>
              <w:t>.929</w:t>
            </w:r>
            <w:r w:rsidRPr="0032797B">
              <w:rPr>
                <w:sz w:val="16"/>
                <w:szCs w:val="16"/>
              </w:rPr>
              <w:t>)</w:t>
            </w:r>
          </w:p>
        </w:tc>
        <w:tc>
          <w:tcPr>
            <w:tcW w:w="912" w:type="dxa"/>
            <w:tcBorders>
              <w:top w:val="nil"/>
              <w:left w:val="nil"/>
              <w:bottom w:val="nil"/>
              <w:right w:val="nil"/>
            </w:tcBorders>
            <w:shd w:val="clear" w:color="auto" w:fill="auto"/>
            <w:noWrap/>
            <w:vAlign w:val="bottom"/>
            <w:hideMark/>
          </w:tcPr>
          <w:p w14:paraId="22A9099B" w14:textId="7351F6C0" w:rsidR="00C627D5" w:rsidRPr="0032797B" w:rsidRDefault="00E8006A" w:rsidP="0032797B">
            <w:pPr>
              <w:jc w:val="center"/>
              <w:rPr>
                <w:sz w:val="16"/>
                <w:szCs w:val="16"/>
              </w:rPr>
            </w:pPr>
            <w:r>
              <w:rPr>
                <w:sz w:val="16"/>
                <w:szCs w:val="16"/>
              </w:rPr>
              <w:t>1</w:t>
            </w:r>
            <w:r w:rsidRPr="00E8006A">
              <w:rPr>
                <w:sz w:val="16"/>
                <w:szCs w:val="16"/>
              </w:rPr>
              <w:t>.28</w:t>
            </w:r>
            <w:r w:rsidR="002471A5">
              <w:rPr>
                <w:sz w:val="16"/>
                <w:szCs w:val="16"/>
              </w:rPr>
              <w:t>5</w:t>
            </w:r>
            <w:r w:rsidRPr="00E8006A">
              <w:rPr>
                <w:sz w:val="16"/>
                <w:szCs w:val="16"/>
              </w:rPr>
              <w:t>.825</w:t>
            </w:r>
          </w:p>
        </w:tc>
        <w:tc>
          <w:tcPr>
            <w:tcW w:w="1062" w:type="dxa"/>
            <w:tcBorders>
              <w:top w:val="nil"/>
              <w:left w:val="nil"/>
              <w:bottom w:val="nil"/>
              <w:right w:val="nil"/>
            </w:tcBorders>
            <w:shd w:val="clear" w:color="auto" w:fill="auto"/>
            <w:noWrap/>
            <w:vAlign w:val="bottom"/>
            <w:hideMark/>
          </w:tcPr>
          <w:p w14:paraId="49E2357B" w14:textId="4C14E062" w:rsidR="00C627D5" w:rsidRPr="0032797B" w:rsidRDefault="00E8006A" w:rsidP="0032797B">
            <w:pPr>
              <w:jc w:val="center"/>
              <w:rPr>
                <w:sz w:val="16"/>
                <w:szCs w:val="16"/>
              </w:rPr>
            </w:pPr>
            <w:r>
              <w:rPr>
                <w:sz w:val="16"/>
                <w:szCs w:val="16"/>
              </w:rPr>
              <w:t>10</w:t>
            </w:r>
            <w:r w:rsidR="00C627D5" w:rsidRPr="0032797B">
              <w:rPr>
                <w:sz w:val="16"/>
                <w:szCs w:val="16"/>
              </w:rPr>
              <w:t>%</w:t>
            </w:r>
          </w:p>
        </w:tc>
      </w:tr>
    </w:tbl>
    <w:p w14:paraId="6969402E" w14:textId="77777777" w:rsidR="00177491" w:rsidRPr="00EB6871" w:rsidRDefault="00177491" w:rsidP="00084399"/>
    <w:p w14:paraId="05D0048C" w14:textId="3E2746BD" w:rsidR="00177491" w:rsidRPr="00EB6871" w:rsidRDefault="00177491" w:rsidP="00FA1E85">
      <w:pPr>
        <w:jc w:val="left"/>
      </w:pPr>
      <w:r w:rsidRPr="00EB6871">
        <w:t>En esta partida se incluyen los trabajos realizados por otras empresas profesionales como agencias de comunicación, marketing corporativo, tanto de creatividad y diseño como de soporte a la producción, consultorías estratégicas, servicios de IT, asesorías y auditorias, servicios jurídicos y laborales. Asimismo, se incorpora la Contribución Anual de 9.500 k€ que se satisface a GSMA según el Host City Parties Agreement.</w:t>
      </w:r>
    </w:p>
    <w:p w14:paraId="1F351398" w14:textId="44CAC265" w:rsidR="00177491" w:rsidRDefault="00ED2ADF" w:rsidP="00897306">
      <w:pPr>
        <w:jc w:val="left"/>
      </w:pPr>
      <w:r w:rsidRPr="00EB6871">
        <w:t>E</w:t>
      </w:r>
      <w:r w:rsidR="00177491" w:rsidRPr="00EB6871">
        <w:t>n 202</w:t>
      </w:r>
      <w:r w:rsidR="00E8006A">
        <w:t>2</w:t>
      </w:r>
      <w:r w:rsidR="00177491" w:rsidRPr="00EB6871">
        <w:t xml:space="preserve"> los costes de servicios profesionales aumentan respecto a la previsión de cierre de 202</w:t>
      </w:r>
      <w:r w:rsidR="00E8006A">
        <w:t>1</w:t>
      </w:r>
      <w:r w:rsidR="00177491" w:rsidRPr="00EB6871">
        <w:t xml:space="preserve">, en un </w:t>
      </w:r>
      <w:r w:rsidR="00E8006A">
        <w:t>10</w:t>
      </w:r>
      <w:r w:rsidR="00177491" w:rsidRPr="00EB6871">
        <w:t>% (</w:t>
      </w:r>
      <w:r w:rsidR="00E8006A">
        <w:t>1.28</w:t>
      </w:r>
      <w:r w:rsidR="002471A5">
        <w:t>5</w:t>
      </w:r>
      <w:r w:rsidR="00177491" w:rsidRPr="00EB6871">
        <w:t xml:space="preserve"> k€) </w:t>
      </w:r>
      <w:r w:rsidR="00897306">
        <w:t>que se explican por los siguientes motivos:</w:t>
      </w:r>
    </w:p>
    <w:p w14:paraId="106C540C" w14:textId="44A3B4DD" w:rsidR="00897306" w:rsidRDefault="00897306" w:rsidP="00897306">
      <w:pPr>
        <w:pStyle w:val="Prrafodelista"/>
        <w:numPr>
          <w:ilvl w:val="0"/>
          <w:numId w:val="32"/>
        </w:numPr>
        <w:jc w:val="left"/>
      </w:pPr>
      <w:r>
        <w:t>+ 408 k€</w:t>
      </w:r>
      <w:r w:rsidR="00B62BF4">
        <w:t xml:space="preserve"> de </w:t>
      </w:r>
      <w:r w:rsidR="00AA205D">
        <w:t xml:space="preserve">mayor </w:t>
      </w:r>
      <w:r w:rsidR="00B62BF4">
        <w:t xml:space="preserve">gasto en el programa Digital Future Society considerando que durante 2022 se realizará la firma del nuevo convenio y esto hará que haya mayor gasto en ponentes y moderadores, agencias de marketing digital, </w:t>
      </w:r>
      <w:r w:rsidR="00C82057">
        <w:t>agencias de producción de eventos así como en creación y gestión de contenidos para los eventos y proyectos.</w:t>
      </w:r>
    </w:p>
    <w:p w14:paraId="46159BD0" w14:textId="5CB24441" w:rsidR="0026042C" w:rsidRDefault="0026042C" w:rsidP="00897306">
      <w:pPr>
        <w:pStyle w:val="Prrafodelista"/>
        <w:numPr>
          <w:ilvl w:val="0"/>
          <w:numId w:val="32"/>
        </w:numPr>
        <w:jc w:val="left"/>
      </w:pPr>
      <w:r>
        <w:t xml:space="preserve">+141 k€ para el programa Digital Talent para realizar </w:t>
      </w:r>
      <w:r w:rsidR="00E55A8B">
        <w:t>mayor número de pilotos rurales, misiones internacionales, así como estudios e informes.</w:t>
      </w:r>
    </w:p>
    <w:p w14:paraId="3DF156C4" w14:textId="735A5D9E" w:rsidR="00E55A8B" w:rsidRDefault="00E55A8B" w:rsidP="00897306">
      <w:pPr>
        <w:pStyle w:val="Prrafodelista"/>
        <w:numPr>
          <w:ilvl w:val="0"/>
          <w:numId w:val="32"/>
        </w:numPr>
        <w:jc w:val="left"/>
      </w:pPr>
      <w:r>
        <w:t xml:space="preserve">+416 k€ </w:t>
      </w:r>
      <w:r w:rsidR="00AA205D">
        <w:t xml:space="preserve">de mayor gasto asociado al programa Observatorio Nacional 5G considerando que ser firmará un nuevo convenio y que </w:t>
      </w:r>
      <w:r w:rsidR="00135C64">
        <w:t>se realizarán producciones de workshops, diseño, secretaria técnica</w:t>
      </w:r>
      <w:r w:rsidR="00680F27">
        <w:t xml:space="preserve"> , así como mayor contenido en la web.</w:t>
      </w:r>
    </w:p>
    <w:p w14:paraId="6CC659C0" w14:textId="128C4CB8" w:rsidR="00680F27" w:rsidRDefault="00680F27" w:rsidP="00897306">
      <w:pPr>
        <w:pStyle w:val="Prrafodelista"/>
        <w:numPr>
          <w:ilvl w:val="0"/>
          <w:numId w:val="32"/>
        </w:numPr>
        <w:jc w:val="left"/>
      </w:pPr>
      <w:r>
        <w:t xml:space="preserve">+136 k€ asociado </w:t>
      </w:r>
      <w:r w:rsidR="00EB555E">
        <w:t>básicamente a la realización del X aniversario de la Fundación, así como mayor coste para el evento del MWC Barcelona 2021, así como MWC Shangai y Los Ángeles</w:t>
      </w:r>
    </w:p>
    <w:p w14:paraId="1963AE00" w14:textId="4F9E8663" w:rsidR="00B51E1A" w:rsidRDefault="00A41E97" w:rsidP="00B51E1A">
      <w:pPr>
        <w:pStyle w:val="Prrafodelista"/>
        <w:numPr>
          <w:ilvl w:val="0"/>
          <w:numId w:val="32"/>
        </w:numPr>
        <w:jc w:val="left"/>
      </w:pPr>
      <w:r>
        <w:t xml:space="preserve">+132 k€ </w:t>
      </w:r>
      <w:r w:rsidR="00822796">
        <w:t xml:space="preserve">en la partida de IT para poder </w:t>
      </w:r>
      <w:r w:rsidR="002956C2">
        <w:t>realizar las mejoras necesarias para una ejecución de la actividad más eficiente</w:t>
      </w:r>
      <w:r w:rsidR="006B6780">
        <w:t xml:space="preserve"> y mejorar </w:t>
      </w:r>
      <w:r w:rsidR="0080345F">
        <w:t>la productividad, así como una mejora en la productividad.</w:t>
      </w:r>
    </w:p>
    <w:p w14:paraId="0F96580A" w14:textId="05E538C8" w:rsidR="001E01A9" w:rsidRPr="00EB6871" w:rsidRDefault="001E01A9" w:rsidP="00B51E1A">
      <w:pPr>
        <w:pStyle w:val="Prrafodelista"/>
        <w:numPr>
          <w:ilvl w:val="0"/>
          <w:numId w:val="32"/>
        </w:numPr>
        <w:jc w:val="left"/>
      </w:pPr>
      <w:r>
        <w:lastRenderedPageBreak/>
        <w:t xml:space="preserve">+53 k€ en proyectos europeos </w:t>
      </w:r>
      <w:r w:rsidR="00BA41D0">
        <w:t xml:space="preserve">para poder realizar nuevas consultorías en el caso de </w:t>
      </w:r>
      <w:r w:rsidR="00B1752B">
        <w:t>tener algún proyecto nuevo, así como generar mayor número de contenido en las web.</w:t>
      </w:r>
    </w:p>
    <w:p w14:paraId="400CC136" w14:textId="77777777" w:rsidR="00C63CFF" w:rsidRDefault="00C63CFF" w:rsidP="000F4DB7">
      <w:pPr>
        <w:jc w:val="left"/>
      </w:pPr>
    </w:p>
    <w:p w14:paraId="29445847" w14:textId="2BC3B8C6" w:rsidR="00ED2ADF" w:rsidRPr="003B086D" w:rsidRDefault="00C63CFF" w:rsidP="000F4DB7">
      <w:pPr>
        <w:jc w:val="left"/>
        <w:rPr>
          <w:rStyle w:val="nfasissutil"/>
        </w:rPr>
      </w:pPr>
      <w:r w:rsidRPr="003B086D">
        <w:rPr>
          <w:rStyle w:val="nfasissutil"/>
        </w:rPr>
        <w:t xml:space="preserve">d. </w:t>
      </w:r>
      <w:r w:rsidR="00ED2ADF" w:rsidRPr="003B086D">
        <w:rPr>
          <w:rStyle w:val="nfasissutil"/>
        </w:rPr>
        <w:t>Transportes</w:t>
      </w:r>
    </w:p>
    <w:p w14:paraId="523D8104" w14:textId="7905253A" w:rsidR="00177491" w:rsidRPr="00EB6871" w:rsidRDefault="00ED2ADF" w:rsidP="00FA1E85">
      <w:pPr>
        <w:jc w:val="left"/>
      </w:pPr>
      <w:r w:rsidRPr="00EB6871">
        <w:t xml:space="preserve">En esta cuenta donde ser reflejan los gastos de traslado de material de las oficinas al almacén no experimenta ningún incremento y se mantienen en el gasto anual de </w:t>
      </w:r>
      <w:r w:rsidR="004D7838">
        <w:t>6</w:t>
      </w:r>
      <w:r w:rsidRPr="00EB6871">
        <w:t xml:space="preserve"> k€</w:t>
      </w:r>
    </w:p>
    <w:p w14:paraId="1D168749" w14:textId="18687695" w:rsidR="00177491" w:rsidRPr="00E350E5" w:rsidRDefault="00E350E5" w:rsidP="000F4DB7">
      <w:pPr>
        <w:jc w:val="left"/>
        <w:rPr>
          <w:rStyle w:val="nfasissutil"/>
        </w:rPr>
      </w:pPr>
      <w:r w:rsidRPr="00E350E5">
        <w:rPr>
          <w:rStyle w:val="nfasissutil"/>
        </w:rPr>
        <w:t>e</w:t>
      </w:r>
      <w:r w:rsidR="00ED2ADF" w:rsidRPr="00E350E5">
        <w:rPr>
          <w:rStyle w:val="nfasissutil"/>
        </w:rPr>
        <w:t>.</w:t>
      </w:r>
      <w:r>
        <w:rPr>
          <w:rStyle w:val="nfasissutil"/>
        </w:rPr>
        <w:t xml:space="preserve"> </w:t>
      </w:r>
      <w:r w:rsidR="00177491" w:rsidRPr="00E350E5">
        <w:rPr>
          <w:rStyle w:val="nfasissutil"/>
        </w:rPr>
        <w:t>Primas de seguros</w:t>
      </w:r>
    </w:p>
    <w:p w14:paraId="78D62817" w14:textId="61685861" w:rsidR="00177491" w:rsidRPr="00EB6871" w:rsidRDefault="00177491" w:rsidP="00FA1E85">
      <w:pPr>
        <w:jc w:val="left"/>
      </w:pPr>
      <w:r w:rsidRPr="00EB6871">
        <w:t>En esta partida encontramos los gastos relacionados con los seguros de responsabilidad civil, así como el propio de la oficina.</w:t>
      </w:r>
    </w:p>
    <w:p w14:paraId="4AD1D7E2" w14:textId="6458CC4A" w:rsidR="00ED2ADF" w:rsidRPr="00EB6871" w:rsidRDefault="00177491" w:rsidP="00FA1E85">
      <w:pPr>
        <w:jc w:val="left"/>
      </w:pPr>
      <w:r w:rsidRPr="00EB6871">
        <w:t xml:space="preserve">Esta partida se </w:t>
      </w:r>
      <w:r w:rsidR="00F73A9B">
        <w:t xml:space="preserve">mantiene </w:t>
      </w:r>
      <w:r w:rsidR="00490FC9">
        <w:t>con</w:t>
      </w:r>
      <w:r w:rsidR="00F73A9B">
        <w:t xml:space="preserve"> el coste asociado </w:t>
      </w:r>
      <w:r w:rsidR="00490FC9">
        <w:t>en 2021.</w:t>
      </w:r>
    </w:p>
    <w:p w14:paraId="7C2F6BF9" w14:textId="010C6ED1" w:rsidR="00ED2ADF" w:rsidRPr="003B086D" w:rsidRDefault="00E350E5" w:rsidP="00FA1E85">
      <w:pPr>
        <w:jc w:val="left"/>
        <w:rPr>
          <w:rStyle w:val="nfasissutil"/>
        </w:rPr>
      </w:pPr>
      <w:r>
        <w:rPr>
          <w:rStyle w:val="nfasissutil"/>
        </w:rPr>
        <w:t>f</w:t>
      </w:r>
      <w:r w:rsidR="00C63CFF" w:rsidRPr="003B086D">
        <w:rPr>
          <w:rStyle w:val="nfasissutil"/>
        </w:rPr>
        <w:t xml:space="preserve">. </w:t>
      </w:r>
      <w:r w:rsidR="00ED2ADF" w:rsidRPr="003B086D">
        <w:rPr>
          <w:rStyle w:val="nfasissutil"/>
        </w:rPr>
        <w:t>Servicios bancarios</w:t>
      </w:r>
    </w:p>
    <w:p w14:paraId="4D7A9486" w14:textId="6C53A165" w:rsidR="00ED2ADF" w:rsidRPr="00EB6871" w:rsidRDefault="00ED2ADF" w:rsidP="00FA1E85">
      <w:pPr>
        <w:jc w:val="left"/>
      </w:pPr>
      <w:r w:rsidRPr="00EB6871">
        <w:t>Esta partida incrementa en 30 k€ respecto a la previsión de cierre 202</w:t>
      </w:r>
      <w:r w:rsidR="009C67D4">
        <w:t>1</w:t>
      </w:r>
      <w:r w:rsidRPr="00EB6871">
        <w:t xml:space="preserve"> </w:t>
      </w:r>
      <w:r w:rsidR="009C67D4">
        <w:t>en 1.900 euros, ya que se prevé mayor operativa fuera de España e incrementaría el gasto por cambio de moneda.</w:t>
      </w:r>
    </w:p>
    <w:p w14:paraId="6CF5D290" w14:textId="77777777" w:rsidR="00ED2ADF" w:rsidRPr="00EB6871" w:rsidRDefault="00ED2ADF" w:rsidP="00084399">
      <w:r w:rsidRPr="00EB6871">
        <w:br w:type="page"/>
      </w:r>
    </w:p>
    <w:p w14:paraId="0004AF1C" w14:textId="1FFE5E19" w:rsidR="00177491" w:rsidRPr="003B086D" w:rsidRDefault="0008478A" w:rsidP="00084399">
      <w:pPr>
        <w:rPr>
          <w:rStyle w:val="nfasissutil"/>
        </w:rPr>
      </w:pPr>
      <w:r>
        <w:rPr>
          <w:rStyle w:val="nfasissutil"/>
        </w:rPr>
        <w:lastRenderedPageBreak/>
        <w:t>g</w:t>
      </w:r>
      <w:r w:rsidR="00C63CFF" w:rsidRPr="003B086D">
        <w:rPr>
          <w:rStyle w:val="nfasissutil"/>
        </w:rPr>
        <w:t xml:space="preserve">. </w:t>
      </w:r>
      <w:r w:rsidR="00177491" w:rsidRPr="003B086D">
        <w:rPr>
          <w:rStyle w:val="nfasissutil"/>
        </w:rPr>
        <w:t>Publicidad y relaciones públicas</w:t>
      </w:r>
    </w:p>
    <w:p w14:paraId="1F11AFCC" w14:textId="335C7F21" w:rsidR="00C627D5" w:rsidRPr="00EB6871" w:rsidRDefault="00177491" w:rsidP="00FA1E85">
      <w:pPr>
        <w:jc w:val="left"/>
      </w:pPr>
      <w:r w:rsidRPr="00EB6871">
        <w:t xml:space="preserve">En esta partida se incluyen gastos relacionados con la publicidad, patrocinios y promoción de </w:t>
      </w:r>
      <w:r w:rsidR="00C63CFF">
        <w:t>MWCapital</w:t>
      </w:r>
      <w:r w:rsidRPr="00EB6871">
        <w:t>, sus programas y proyectos. Se incluyen también los gastos de arquitectura y decoración relacionados con la construcción stands y recintos para eventos, además de las cuotas de inscripciones y membresías. El aumento respecto la previsión de cierre de 202</w:t>
      </w:r>
      <w:r w:rsidR="00F14A78">
        <w:t>1</w:t>
      </w:r>
      <w:r w:rsidRPr="00EB6871">
        <w:t xml:space="preserve"> es del </w:t>
      </w:r>
      <w:r w:rsidR="002B05F4">
        <w:t>45</w:t>
      </w:r>
      <w:r w:rsidRPr="00EB6871">
        <w:t>% (</w:t>
      </w:r>
      <w:r w:rsidR="002B05F4">
        <w:t>520</w:t>
      </w:r>
      <w:r w:rsidRPr="00EB6871">
        <w:t xml:space="preserve">k €), esto es debido principalmente por el aumento que se puede observar en </w:t>
      </w:r>
      <w:r w:rsidR="003C6BE3" w:rsidRPr="00EB6871">
        <w:t>las aportaciones para el</w:t>
      </w:r>
      <w:r w:rsidRPr="00EB6871">
        <w:t xml:space="preserve"> </w:t>
      </w:r>
      <w:r w:rsidR="00F63A0B">
        <w:t xml:space="preserve">nuevo convenio </w:t>
      </w:r>
      <w:r w:rsidR="00176C82">
        <w:t>asociado al Digital Future Society</w:t>
      </w:r>
      <w:r w:rsidR="00265F49">
        <w:t xml:space="preserve"> y Observatorio Nacional 5G, así como también producción audiovisual, </w:t>
      </w:r>
      <w:r w:rsidR="00071178">
        <w:t xml:space="preserve">campañas en medios digitales para la celebración del X aniversario de la Fundación. </w:t>
      </w:r>
    </w:p>
    <w:p w14:paraId="336B4ED5" w14:textId="7681902B" w:rsidR="00177491" w:rsidRPr="00EB6871" w:rsidRDefault="00177491" w:rsidP="00FA1E85">
      <w:pPr>
        <w:jc w:val="left"/>
      </w:pPr>
      <w:r w:rsidRPr="00EB6871">
        <w:t xml:space="preserve">Además, en los </w:t>
      </w:r>
      <w:r w:rsidR="0065362D">
        <w:t>P</w:t>
      </w:r>
      <w:r w:rsidRPr="00EB6871">
        <w:t xml:space="preserve">royectos </w:t>
      </w:r>
      <w:r w:rsidR="0065362D">
        <w:t>E</w:t>
      </w:r>
      <w:r w:rsidRPr="00EB6871">
        <w:t xml:space="preserve">uropeos </w:t>
      </w:r>
      <w:r w:rsidR="001C7449">
        <w:t>se espera poder viajar más y</w:t>
      </w:r>
      <w:r w:rsidR="00071178">
        <w:t xml:space="preserve"> asistir a mayor número de </w:t>
      </w:r>
      <w:r w:rsidR="00960AB1">
        <w:t>congresos que</w:t>
      </w:r>
      <w:r w:rsidR="001C7449">
        <w:t xml:space="preserve"> repercutirá en mayor número de </w:t>
      </w:r>
      <w:r w:rsidR="00C972C1">
        <w:t>producción de material físico, generación de videos y entradas a eventos y ferias.</w:t>
      </w:r>
    </w:p>
    <w:p w14:paraId="1D86B5BD" w14:textId="77777777" w:rsidR="00177491" w:rsidRPr="00EB6871" w:rsidRDefault="00177491" w:rsidP="00FA1E85">
      <w:pPr>
        <w:jc w:val="left"/>
      </w:pPr>
    </w:p>
    <w:p w14:paraId="53F6DEBD" w14:textId="70A36F66" w:rsidR="00177491" w:rsidRPr="003B086D" w:rsidRDefault="0008478A" w:rsidP="00FA1E85">
      <w:pPr>
        <w:jc w:val="left"/>
        <w:rPr>
          <w:rStyle w:val="nfasissutil"/>
        </w:rPr>
      </w:pPr>
      <w:r>
        <w:rPr>
          <w:rStyle w:val="nfasissutil"/>
        </w:rPr>
        <w:t>h</w:t>
      </w:r>
      <w:r w:rsidR="00C63CFF" w:rsidRPr="003B086D">
        <w:rPr>
          <w:rStyle w:val="nfasissutil"/>
        </w:rPr>
        <w:t xml:space="preserve">. </w:t>
      </w:r>
      <w:r w:rsidR="00177491" w:rsidRPr="003B086D">
        <w:rPr>
          <w:rStyle w:val="nfasissutil"/>
        </w:rPr>
        <w:t>Suministros</w:t>
      </w:r>
    </w:p>
    <w:p w14:paraId="40CBD2A6" w14:textId="77777777" w:rsidR="00177491" w:rsidRPr="00EB6871" w:rsidRDefault="00177491" w:rsidP="00FA1E85">
      <w:pPr>
        <w:jc w:val="left"/>
      </w:pPr>
    </w:p>
    <w:p w14:paraId="1A522728" w14:textId="697F21E4" w:rsidR="00177491" w:rsidRPr="00EB6871" w:rsidRDefault="00177491" w:rsidP="00FA1E85">
      <w:pPr>
        <w:jc w:val="left"/>
      </w:pPr>
      <w:r w:rsidRPr="00EB6871">
        <w:t>Se incluyen los gastos de electricidad y telecomunicaciones, así como los suministros asociados con los alquileres de las oficinas del edificio de Pier 01, y de Red.es.</w:t>
      </w:r>
    </w:p>
    <w:p w14:paraId="3F7EFF7F" w14:textId="37DB4037" w:rsidR="0008478A" w:rsidRDefault="00A70C63" w:rsidP="002B05F4">
      <w:pPr>
        <w:jc w:val="left"/>
      </w:pPr>
      <w:r>
        <w:t>Los costes se mantienen igual que en el año 2021</w:t>
      </w:r>
      <w:r w:rsidR="00177491" w:rsidRPr="00EB6871">
        <w:t xml:space="preserve"> </w:t>
      </w:r>
      <w:r>
        <w:t xml:space="preserve">y se seguirá compartiendo los gastos </w:t>
      </w:r>
      <w:r w:rsidR="00177491" w:rsidRPr="00EB6871">
        <w:t xml:space="preserve"> con su filial, Barcelona Mobile Ventures, S.L, ya que comparten oficinas.</w:t>
      </w:r>
    </w:p>
    <w:p w14:paraId="10488F6F" w14:textId="77777777" w:rsidR="0008478A" w:rsidRPr="00EB6871" w:rsidRDefault="0008478A" w:rsidP="00084399"/>
    <w:p w14:paraId="2C705B52" w14:textId="0F113D67" w:rsidR="00177491" w:rsidRPr="003B086D" w:rsidRDefault="0008478A" w:rsidP="00084399">
      <w:pPr>
        <w:rPr>
          <w:rStyle w:val="nfasissutil"/>
        </w:rPr>
      </w:pPr>
      <w:r>
        <w:rPr>
          <w:rStyle w:val="nfasissutil"/>
        </w:rPr>
        <w:t>i</w:t>
      </w:r>
      <w:r w:rsidR="00C63CFF" w:rsidRPr="003B086D">
        <w:rPr>
          <w:rStyle w:val="nfasissutil"/>
        </w:rPr>
        <w:t xml:space="preserve">. </w:t>
      </w:r>
      <w:r w:rsidR="00177491" w:rsidRPr="003B086D">
        <w:rPr>
          <w:rStyle w:val="nfasissutil"/>
        </w:rPr>
        <w:t>Otros servicios</w:t>
      </w:r>
    </w:p>
    <w:tbl>
      <w:tblPr>
        <w:tblpPr w:leftFromText="141" w:rightFromText="141" w:vertAnchor="text" w:horzAnchor="margin" w:tblpY="302"/>
        <w:tblW w:w="6609" w:type="dxa"/>
        <w:tblCellMar>
          <w:left w:w="70" w:type="dxa"/>
          <w:right w:w="70" w:type="dxa"/>
        </w:tblCellMar>
        <w:tblLook w:val="04A0" w:firstRow="1" w:lastRow="0" w:firstColumn="1" w:lastColumn="0" w:noHBand="0" w:noVBand="1"/>
      </w:tblPr>
      <w:tblGrid>
        <w:gridCol w:w="2241"/>
        <w:gridCol w:w="146"/>
        <w:gridCol w:w="1530"/>
        <w:gridCol w:w="1612"/>
        <w:gridCol w:w="936"/>
        <w:gridCol w:w="648"/>
      </w:tblGrid>
      <w:tr w:rsidR="00B240BA" w:rsidRPr="009F6A1B" w14:paraId="2409A66D" w14:textId="77777777" w:rsidTr="009F6A1B">
        <w:trPr>
          <w:trHeight w:val="335"/>
        </w:trPr>
        <w:tc>
          <w:tcPr>
            <w:tcW w:w="2241" w:type="dxa"/>
            <w:tcBorders>
              <w:top w:val="nil"/>
              <w:left w:val="nil"/>
              <w:bottom w:val="nil"/>
              <w:right w:val="nil"/>
            </w:tcBorders>
            <w:shd w:val="clear" w:color="auto" w:fill="auto"/>
            <w:noWrap/>
            <w:vAlign w:val="center"/>
            <w:hideMark/>
          </w:tcPr>
          <w:p w14:paraId="3D41DFA1" w14:textId="77777777" w:rsidR="00B240BA" w:rsidRPr="009F6A1B" w:rsidRDefault="00B240BA" w:rsidP="00084399">
            <w:pPr>
              <w:rPr>
                <w:sz w:val="16"/>
                <w:szCs w:val="16"/>
                <w:lang w:eastAsia="es-ES"/>
              </w:rPr>
            </w:pPr>
          </w:p>
        </w:tc>
        <w:tc>
          <w:tcPr>
            <w:tcW w:w="146" w:type="dxa"/>
            <w:tcBorders>
              <w:top w:val="nil"/>
              <w:left w:val="nil"/>
              <w:bottom w:val="nil"/>
              <w:right w:val="nil"/>
            </w:tcBorders>
            <w:shd w:val="clear" w:color="auto" w:fill="auto"/>
            <w:vAlign w:val="bottom"/>
            <w:hideMark/>
          </w:tcPr>
          <w:p w14:paraId="232CEFFE" w14:textId="77777777" w:rsidR="00B240BA" w:rsidRPr="009F6A1B" w:rsidRDefault="00B240BA" w:rsidP="00084399">
            <w:pPr>
              <w:rPr>
                <w:sz w:val="16"/>
                <w:szCs w:val="16"/>
                <w:lang w:eastAsia="es-ES"/>
              </w:rPr>
            </w:pPr>
          </w:p>
        </w:tc>
        <w:tc>
          <w:tcPr>
            <w:tcW w:w="1530" w:type="dxa"/>
            <w:tcBorders>
              <w:top w:val="nil"/>
              <w:left w:val="nil"/>
              <w:bottom w:val="nil"/>
              <w:right w:val="nil"/>
            </w:tcBorders>
            <w:shd w:val="clear" w:color="auto" w:fill="C00000"/>
            <w:vAlign w:val="center"/>
            <w:hideMark/>
          </w:tcPr>
          <w:p w14:paraId="0DFFA836" w14:textId="0E100D5E" w:rsidR="00B240BA" w:rsidRPr="009F6A1B" w:rsidRDefault="00B240BA" w:rsidP="009F6A1B">
            <w:pPr>
              <w:jc w:val="center"/>
              <w:rPr>
                <w:b/>
                <w:bCs/>
                <w:color w:val="FFFFFF" w:themeColor="background1"/>
                <w:sz w:val="16"/>
                <w:szCs w:val="16"/>
                <w:lang w:eastAsia="es-ES"/>
              </w:rPr>
            </w:pPr>
            <w:r w:rsidRPr="009F6A1B">
              <w:rPr>
                <w:b/>
                <w:bCs/>
                <w:color w:val="FFFFFF" w:themeColor="background1"/>
                <w:sz w:val="16"/>
                <w:szCs w:val="16"/>
                <w:lang w:eastAsia="es-ES"/>
              </w:rPr>
              <w:t>Prev. Cierre 202</w:t>
            </w:r>
            <w:r w:rsidR="001943A7">
              <w:rPr>
                <w:b/>
                <w:bCs/>
                <w:color w:val="FFFFFF" w:themeColor="background1"/>
                <w:sz w:val="16"/>
                <w:szCs w:val="16"/>
                <w:lang w:eastAsia="es-ES"/>
              </w:rPr>
              <w:t>1</w:t>
            </w:r>
          </w:p>
        </w:tc>
        <w:tc>
          <w:tcPr>
            <w:tcW w:w="1612" w:type="dxa"/>
            <w:tcBorders>
              <w:top w:val="nil"/>
              <w:left w:val="nil"/>
              <w:bottom w:val="nil"/>
              <w:right w:val="nil"/>
            </w:tcBorders>
            <w:shd w:val="clear" w:color="auto" w:fill="C00000"/>
            <w:vAlign w:val="center"/>
            <w:hideMark/>
          </w:tcPr>
          <w:p w14:paraId="23E4D74A" w14:textId="07A38660" w:rsidR="00B240BA" w:rsidRPr="009F6A1B" w:rsidRDefault="00B240BA" w:rsidP="009F6A1B">
            <w:pPr>
              <w:jc w:val="center"/>
              <w:rPr>
                <w:b/>
                <w:bCs/>
                <w:color w:val="FFFFFF" w:themeColor="background1"/>
                <w:sz w:val="16"/>
                <w:szCs w:val="16"/>
                <w:lang w:eastAsia="es-ES"/>
              </w:rPr>
            </w:pPr>
            <w:r w:rsidRPr="009F6A1B">
              <w:rPr>
                <w:b/>
                <w:bCs/>
                <w:color w:val="FFFFFF" w:themeColor="background1"/>
                <w:sz w:val="16"/>
                <w:szCs w:val="16"/>
                <w:lang w:eastAsia="es-ES"/>
              </w:rPr>
              <w:t>Presupuesto 202</w:t>
            </w:r>
            <w:r w:rsidR="001943A7">
              <w:rPr>
                <w:b/>
                <w:bCs/>
                <w:color w:val="FFFFFF" w:themeColor="background1"/>
                <w:sz w:val="16"/>
                <w:szCs w:val="16"/>
                <w:lang w:eastAsia="es-ES"/>
              </w:rPr>
              <w:t>2</w:t>
            </w:r>
          </w:p>
        </w:tc>
        <w:tc>
          <w:tcPr>
            <w:tcW w:w="432" w:type="dxa"/>
            <w:tcBorders>
              <w:top w:val="nil"/>
              <w:left w:val="nil"/>
              <w:bottom w:val="nil"/>
              <w:right w:val="nil"/>
            </w:tcBorders>
            <w:shd w:val="clear" w:color="auto" w:fill="C00000"/>
            <w:vAlign w:val="center"/>
            <w:hideMark/>
          </w:tcPr>
          <w:p w14:paraId="1D240A27" w14:textId="77777777" w:rsidR="00B240BA" w:rsidRPr="009F6A1B" w:rsidRDefault="00B240BA" w:rsidP="009F6A1B">
            <w:pPr>
              <w:jc w:val="center"/>
              <w:rPr>
                <w:b/>
                <w:bCs/>
                <w:color w:val="FFFFFF" w:themeColor="background1"/>
                <w:sz w:val="16"/>
                <w:szCs w:val="16"/>
                <w:lang w:eastAsia="es-ES"/>
              </w:rPr>
            </w:pPr>
            <w:r w:rsidRPr="009F6A1B">
              <w:rPr>
                <w:b/>
                <w:bCs/>
                <w:color w:val="FFFFFF" w:themeColor="background1"/>
                <w:sz w:val="16"/>
                <w:szCs w:val="16"/>
                <w:lang w:eastAsia="es-ES"/>
              </w:rPr>
              <w:t>Diferencia</w:t>
            </w:r>
          </w:p>
        </w:tc>
        <w:tc>
          <w:tcPr>
            <w:tcW w:w="648" w:type="dxa"/>
            <w:tcBorders>
              <w:top w:val="nil"/>
              <w:left w:val="nil"/>
              <w:bottom w:val="nil"/>
              <w:right w:val="nil"/>
            </w:tcBorders>
            <w:shd w:val="clear" w:color="auto" w:fill="C00000"/>
            <w:vAlign w:val="center"/>
            <w:hideMark/>
          </w:tcPr>
          <w:p w14:paraId="0AA62C99" w14:textId="04C9EE02" w:rsidR="00B240BA" w:rsidRPr="009F6A1B" w:rsidRDefault="00B240BA" w:rsidP="009F6A1B">
            <w:pPr>
              <w:jc w:val="center"/>
              <w:rPr>
                <w:b/>
                <w:bCs/>
                <w:color w:val="FFFFFF" w:themeColor="background1"/>
                <w:sz w:val="16"/>
                <w:szCs w:val="16"/>
                <w:lang w:eastAsia="es-ES"/>
              </w:rPr>
            </w:pPr>
            <w:r w:rsidRPr="009F6A1B">
              <w:rPr>
                <w:b/>
                <w:bCs/>
                <w:color w:val="FFFFFF" w:themeColor="background1"/>
                <w:sz w:val="16"/>
                <w:szCs w:val="16"/>
                <w:lang w:eastAsia="es-ES"/>
              </w:rPr>
              <w:t>%</w:t>
            </w:r>
          </w:p>
        </w:tc>
      </w:tr>
      <w:tr w:rsidR="00B240BA" w:rsidRPr="009F6A1B" w14:paraId="5B592006" w14:textId="77777777" w:rsidTr="009F6A1B">
        <w:trPr>
          <w:trHeight w:val="196"/>
        </w:trPr>
        <w:tc>
          <w:tcPr>
            <w:tcW w:w="2241" w:type="dxa"/>
            <w:tcBorders>
              <w:top w:val="nil"/>
              <w:left w:val="nil"/>
              <w:bottom w:val="nil"/>
              <w:right w:val="nil"/>
            </w:tcBorders>
            <w:shd w:val="clear" w:color="auto" w:fill="auto"/>
            <w:noWrap/>
            <w:vAlign w:val="bottom"/>
            <w:hideMark/>
          </w:tcPr>
          <w:p w14:paraId="214269F5" w14:textId="77777777" w:rsidR="00B240BA" w:rsidRPr="009F6A1B" w:rsidRDefault="00B240BA" w:rsidP="00084399">
            <w:pPr>
              <w:rPr>
                <w:sz w:val="16"/>
                <w:szCs w:val="16"/>
                <w:lang w:eastAsia="es-ES"/>
              </w:rPr>
            </w:pPr>
            <w:r w:rsidRPr="009F6A1B">
              <w:rPr>
                <w:sz w:val="16"/>
                <w:szCs w:val="16"/>
                <w:lang w:eastAsia="es-ES"/>
              </w:rPr>
              <w:t>Otros servicios</w:t>
            </w:r>
          </w:p>
        </w:tc>
        <w:tc>
          <w:tcPr>
            <w:tcW w:w="146" w:type="dxa"/>
            <w:tcBorders>
              <w:top w:val="nil"/>
              <w:left w:val="nil"/>
              <w:bottom w:val="nil"/>
              <w:right w:val="nil"/>
            </w:tcBorders>
            <w:shd w:val="clear" w:color="auto" w:fill="auto"/>
            <w:noWrap/>
            <w:vAlign w:val="center"/>
            <w:hideMark/>
          </w:tcPr>
          <w:p w14:paraId="0BE7A4FD" w14:textId="77777777" w:rsidR="00B240BA" w:rsidRPr="009F6A1B" w:rsidRDefault="00B240BA" w:rsidP="00084399">
            <w:pPr>
              <w:rPr>
                <w:sz w:val="16"/>
                <w:szCs w:val="16"/>
                <w:lang w:eastAsia="es-ES"/>
              </w:rPr>
            </w:pPr>
          </w:p>
        </w:tc>
        <w:tc>
          <w:tcPr>
            <w:tcW w:w="1530" w:type="dxa"/>
            <w:tcBorders>
              <w:top w:val="nil"/>
              <w:left w:val="nil"/>
              <w:bottom w:val="nil"/>
              <w:right w:val="nil"/>
            </w:tcBorders>
            <w:shd w:val="clear" w:color="auto" w:fill="auto"/>
            <w:noWrap/>
            <w:vAlign w:val="bottom"/>
            <w:hideMark/>
          </w:tcPr>
          <w:p w14:paraId="50B12E3D" w14:textId="23821C7F" w:rsidR="00B240BA" w:rsidRPr="009F6A1B" w:rsidRDefault="00B240BA" w:rsidP="009F6A1B">
            <w:pPr>
              <w:jc w:val="center"/>
              <w:rPr>
                <w:sz w:val="16"/>
                <w:szCs w:val="16"/>
                <w:lang w:eastAsia="es-ES"/>
              </w:rPr>
            </w:pPr>
            <w:r w:rsidRPr="009F6A1B">
              <w:rPr>
                <w:sz w:val="16"/>
                <w:szCs w:val="16"/>
                <w:lang w:eastAsia="es-ES"/>
              </w:rPr>
              <w:t>(</w:t>
            </w:r>
            <w:r w:rsidR="00325E7B">
              <w:rPr>
                <w:sz w:val="16"/>
                <w:szCs w:val="16"/>
                <w:lang w:eastAsia="es-ES"/>
              </w:rPr>
              <w:t>405.246</w:t>
            </w:r>
            <w:r w:rsidRPr="009F6A1B">
              <w:rPr>
                <w:sz w:val="16"/>
                <w:szCs w:val="16"/>
                <w:lang w:eastAsia="es-ES"/>
              </w:rPr>
              <w:t>)</w:t>
            </w:r>
          </w:p>
        </w:tc>
        <w:tc>
          <w:tcPr>
            <w:tcW w:w="1612" w:type="dxa"/>
            <w:tcBorders>
              <w:top w:val="nil"/>
              <w:left w:val="nil"/>
              <w:bottom w:val="nil"/>
              <w:right w:val="nil"/>
            </w:tcBorders>
            <w:shd w:val="clear" w:color="auto" w:fill="auto"/>
            <w:noWrap/>
            <w:vAlign w:val="bottom"/>
            <w:hideMark/>
          </w:tcPr>
          <w:p w14:paraId="3847BA12" w14:textId="752A206A" w:rsidR="00B240BA" w:rsidRPr="009F6A1B" w:rsidRDefault="00B240BA" w:rsidP="009F6A1B">
            <w:pPr>
              <w:jc w:val="center"/>
              <w:rPr>
                <w:sz w:val="16"/>
                <w:szCs w:val="16"/>
                <w:lang w:eastAsia="es-ES"/>
              </w:rPr>
            </w:pPr>
            <w:r w:rsidRPr="009F6A1B">
              <w:rPr>
                <w:sz w:val="16"/>
                <w:szCs w:val="16"/>
                <w:lang w:eastAsia="es-ES"/>
              </w:rPr>
              <w:t>(</w:t>
            </w:r>
            <w:r w:rsidR="00325E7B">
              <w:rPr>
                <w:sz w:val="16"/>
                <w:szCs w:val="16"/>
                <w:lang w:eastAsia="es-ES"/>
              </w:rPr>
              <w:t>1.077.613</w:t>
            </w:r>
            <w:r w:rsidRPr="009F6A1B">
              <w:rPr>
                <w:sz w:val="16"/>
                <w:szCs w:val="16"/>
                <w:lang w:eastAsia="es-ES"/>
              </w:rPr>
              <w:t>)</w:t>
            </w:r>
          </w:p>
        </w:tc>
        <w:tc>
          <w:tcPr>
            <w:tcW w:w="432" w:type="dxa"/>
            <w:tcBorders>
              <w:top w:val="nil"/>
              <w:left w:val="nil"/>
              <w:bottom w:val="nil"/>
              <w:right w:val="nil"/>
            </w:tcBorders>
            <w:shd w:val="clear" w:color="000000" w:fill="FFFFFF"/>
            <w:noWrap/>
            <w:vAlign w:val="bottom"/>
            <w:hideMark/>
          </w:tcPr>
          <w:p w14:paraId="32BA0B33" w14:textId="04918C04" w:rsidR="00B240BA" w:rsidRPr="009F6A1B" w:rsidRDefault="00325E7B" w:rsidP="009F6A1B">
            <w:pPr>
              <w:jc w:val="center"/>
              <w:rPr>
                <w:sz w:val="16"/>
                <w:szCs w:val="16"/>
                <w:lang w:eastAsia="es-ES"/>
              </w:rPr>
            </w:pPr>
            <w:r>
              <w:rPr>
                <w:sz w:val="16"/>
                <w:szCs w:val="16"/>
                <w:lang w:eastAsia="es-ES"/>
              </w:rPr>
              <w:t>672.367</w:t>
            </w:r>
          </w:p>
        </w:tc>
        <w:tc>
          <w:tcPr>
            <w:tcW w:w="648" w:type="dxa"/>
            <w:tcBorders>
              <w:top w:val="nil"/>
              <w:left w:val="nil"/>
              <w:bottom w:val="nil"/>
              <w:right w:val="nil"/>
            </w:tcBorders>
            <w:shd w:val="clear" w:color="000000" w:fill="FFFFFF"/>
            <w:noWrap/>
            <w:vAlign w:val="bottom"/>
            <w:hideMark/>
          </w:tcPr>
          <w:p w14:paraId="264C6205" w14:textId="0ED4F01B" w:rsidR="00B240BA" w:rsidRPr="009F6A1B" w:rsidRDefault="00B240BA" w:rsidP="009F6A1B">
            <w:pPr>
              <w:jc w:val="center"/>
              <w:rPr>
                <w:sz w:val="16"/>
                <w:szCs w:val="16"/>
                <w:lang w:eastAsia="es-ES"/>
              </w:rPr>
            </w:pPr>
            <w:r w:rsidRPr="009F6A1B">
              <w:rPr>
                <w:sz w:val="16"/>
                <w:szCs w:val="16"/>
                <w:lang w:eastAsia="es-ES"/>
              </w:rPr>
              <w:t>1</w:t>
            </w:r>
            <w:r w:rsidR="00325E7B">
              <w:rPr>
                <w:sz w:val="16"/>
                <w:szCs w:val="16"/>
                <w:lang w:eastAsia="es-ES"/>
              </w:rPr>
              <w:t>66</w:t>
            </w:r>
            <w:r w:rsidRPr="009F6A1B">
              <w:rPr>
                <w:sz w:val="16"/>
                <w:szCs w:val="16"/>
                <w:lang w:eastAsia="es-ES"/>
              </w:rPr>
              <w:t>%</w:t>
            </w:r>
          </w:p>
        </w:tc>
      </w:tr>
    </w:tbl>
    <w:p w14:paraId="64AC1881" w14:textId="77777777" w:rsidR="00C627D5" w:rsidRPr="00EB6871" w:rsidRDefault="00C627D5" w:rsidP="00084399"/>
    <w:p w14:paraId="09DD75DF" w14:textId="08269B1F" w:rsidR="00177491" w:rsidRPr="00EB6871" w:rsidRDefault="00177491" w:rsidP="00084399"/>
    <w:p w14:paraId="45DEF05A" w14:textId="77777777" w:rsidR="00B240BA" w:rsidRPr="00EB6871" w:rsidRDefault="00B240BA" w:rsidP="00084399"/>
    <w:p w14:paraId="0A7406D6" w14:textId="77777777" w:rsidR="00C63CFF" w:rsidRDefault="00C63CFF" w:rsidP="00084399"/>
    <w:p w14:paraId="5DBB82E4" w14:textId="65CDBB9A" w:rsidR="00177491" w:rsidRPr="00EB6871" w:rsidRDefault="00177491" w:rsidP="00FA1E85">
      <w:pPr>
        <w:jc w:val="left"/>
      </w:pPr>
      <w:r w:rsidRPr="00EB6871">
        <w:t xml:space="preserve">Esta partida contempla los costes de viajes, catering, traducciones, así como premios y donativos de los distintos eventos y los consumibles de oficina. Además, incluye los costes relacionados para sufragar actividades de soporte en </w:t>
      </w:r>
      <w:r w:rsidR="00C63CFF">
        <w:t>MWC Barcelona</w:t>
      </w:r>
      <w:r w:rsidRPr="00EB6871">
        <w:t>, comprometidas en el contrato del Host City Parties Agreement.</w:t>
      </w:r>
    </w:p>
    <w:p w14:paraId="7D993FDD" w14:textId="5C510742" w:rsidR="00177491" w:rsidRPr="00EB6871" w:rsidRDefault="00177491" w:rsidP="00FA1E85">
      <w:pPr>
        <w:jc w:val="left"/>
      </w:pPr>
      <w:r w:rsidRPr="00EB6871">
        <w:t>El aumento de coste en el presupuesto de 2021</w:t>
      </w:r>
      <w:r w:rsidR="0069632C">
        <w:t>2</w:t>
      </w:r>
      <w:r w:rsidRPr="00EB6871">
        <w:t>en 1</w:t>
      </w:r>
      <w:r w:rsidR="0069632C">
        <w:t>66</w:t>
      </w:r>
      <w:r w:rsidRPr="00EB6871">
        <w:t>% (</w:t>
      </w:r>
      <w:r w:rsidR="0069632C">
        <w:t>672</w:t>
      </w:r>
      <w:r w:rsidRPr="00EB6871">
        <w:t xml:space="preserve"> k€) viene dado por los siguientes motivos: </w:t>
      </w:r>
    </w:p>
    <w:p w14:paraId="13669E8A" w14:textId="6B96CBA0" w:rsidR="00177491" w:rsidRPr="00EB6871" w:rsidRDefault="00177491" w:rsidP="00FA1E85">
      <w:pPr>
        <w:pStyle w:val="Prrafodelista"/>
        <w:numPr>
          <w:ilvl w:val="0"/>
          <w:numId w:val="4"/>
        </w:numPr>
        <w:jc w:val="left"/>
      </w:pPr>
      <w:r w:rsidRPr="00EB6871">
        <w:t>+4</w:t>
      </w:r>
      <w:r w:rsidR="006D7F10">
        <w:t>34</w:t>
      </w:r>
      <w:r w:rsidRPr="00EB6871">
        <w:t xml:space="preserve"> k€ para sufragar actividades de soporte al MWC Barcelona, ya que en 202</w:t>
      </w:r>
      <w:r w:rsidR="006D7F10">
        <w:t>1</w:t>
      </w:r>
      <w:r w:rsidRPr="00EB6871">
        <w:t xml:space="preserve"> el gasto asociado fue de </w:t>
      </w:r>
      <w:r w:rsidR="006D7F10">
        <w:t>47</w:t>
      </w:r>
      <w:r w:rsidRPr="00EB6871">
        <w:t xml:space="preserve"> k€ debido a </w:t>
      </w:r>
      <w:r w:rsidR="006D7F10">
        <w:t>que fue un evento más reducido de lo habitual por la situación de pandemia, COVID-19.</w:t>
      </w:r>
    </w:p>
    <w:p w14:paraId="4C246EDC" w14:textId="3284B855" w:rsidR="00177491" w:rsidRPr="00EB6871" w:rsidRDefault="00177491" w:rsidP="00FA1E85">
      <w:pPr>
        <w:pStyle w:val="Prrafodelista"/>
        <w:numPr>
          <w:ilvl w:val="0"/>
          <w:numId w:val="4"/>
        </w:numPr>
        <w:jc w:val="left"/>
      </w:pPr>
      <w:r w:rsidRPr="00EB6871">
        <w:lastRenderedPageBreak/>
        <w:t>+1</w:t>
      </w:r>
      <w:r w:rsidR="00F03252">
        <w:t>2</w:t>
      </w:r>
      <w:r w:rsidR="00C15575">
        <w:t>4</w:t>
      </w:r>
      <w:r w:rsidRPr="00EB6871">
        <w:t xml:space="preserve"> k€ en gastos de viajes a terceros para participar en los eventos y </w:t>
      </w:r>
      <w:r w:rsidR="00FE788D">
        <w:t xml:space="preserve">el </w:t>
      </w:r>
      <w:r w:rsidRPr="00EB6871">
        <w:t>personal propio</w:t>
      </w:r>
      <w:r w:rsidR="00FE788D">
        <w:t xml:space="preserve"> pueda desplazarse a los distintos eventos que se realizan fuera de Barcelona</w:t>
      </w:r>
      <w:r w:rsidRPr="00EB6871">
        <w:t>, ya que durante 202</w:t>
      </w:r>
      <w:r w:rsidR="00C15575">
        <w:t>1</w:t>
      </w:r>
      <w:r w:rsidRPr="00EB6871">
        <w:t xml:space="preserve"> no se pudieron </w:t>
      </w:r>
      <w:r w:rsidR="00FE788D">
        <w:t>por la situación de restricciones.</w:t>
      </w:r>
    </w:p>
    <w:p w14:paraId="0766185C" w14:textId="71348D7C" w:rsidR="00177491" w:rsidRDefault="00177491" w:rsidP="00FA1E85">
      <w:pPr>
        <w:pStyle w:val="Prrafodelista"/>
        <w:numPr>
          <w:ilvl w:val="0"/>
          <w:numId w:val="4"/>
        </w:numPr>
        <w:jc w:val="left"/>
      </w:pPr>
      <w:r w:rsidRPr="00EB6871">
        <w:t>+</w:t>
      </w:r>
      <w:r w:rsidR="007D5927">
        <w:t>12</w:t>
      </w:r>
      <w:r w:rsidRPr="00EB6871">
        <w:t xml:space="preserve"> k€ mayor número de suscripciones a cuotas de asociaciones para </w:t>
      </w:r>
      <w:r w:rsidR="001C6EA1" w:rsidRPr="00EB6871">
        <w:t xml:space="preserve">maximizar las sinergias en el </w:t>
      </w:r>
      <w:r w:rsidR="003E6E87" w:rsidRPr="00EB6871">
        <w:t>ecosistema digital.</w:t>
      </w:r>
    </w:p>
    <w:p w14:paraId="025A0BD7" w14:textId="17A7B844" w:rsidR="00A11D82" w:rsidRDefault="00A11D82" w:rsidP="00FA1E85">
      <w:pPr>
        <w:pStyle w:val="Prrafodelista"/>
        <w:numPr>
          <w:ilvl w:val="0"/>
          <w:numId w:val="4"/>
        </w:numPr>
        <w:jc w:val="left"/>
      </w:pPr>
      <w:r>
        <w:t>+</w:t>
      </w:r>
      <w:r w:rsidR="00F03252">
        <w:t>62</w:t>
      </w:r>
      <w:r>
        <w:t xml:space="preserve"> k€ mayor coste de catering </w:t>
      </w:r>
      <w:r w:rsidR="007D2BA8">
        <w:t>previendo mayor número de eventos</w:t>
      </w:r>
      <w:r w:rsidR="00AD6653">
        <w:t xml:space="preserve">, así como la celebración del X aniversario y un MWC Barcelona 2022 </w:t>
      </w:r>
      <w:r w:rsidR="007D5927">
        <w:t>como ediciones anteriores</w:t>
      </w:r>
    </w:p>
    <w:p w14:paraId="559E7344" w14:textId="71113CFB" w:rsidR="002B6831" w:rsidRDefault="00F03252" w:rsidP="00FA1E85">
      <w:pPr>
        <w:pStyle w:val="Prrafodelista"/>
        <w:numPr>
          <w:ilvl w:val="0"/>
          <w:numId w:val="4"/>
        </w:numPr>
        <w:jc w:val="left"/>
      </w:pPr>
      <w:r>
        <w:t xml:space="preserve">+35 k€ en </w:t>
      </w:r>
      <w:r w:rsidR="00055678">
        <w:t>transporte de mobiliario para los distintos eventos que se prevén realizar durante el año 2022.</w:t>
      </w:r>
    </w:p>
    <w:p w14:paraId="3D5D60D8" w14:textId="7C673B81" w:rsidR="005D6B52" w:rsidRPr="00EB6871" w:rsidRDefault="005D6B52" w:rsidP="00FA1E85">
      <w:pPr>
        <w:pStyle w:val="Prrafodelista"/>
        <w:numPr>
          <w:ilvl w:val="0"/>
          <w:numId w:val="4"/>
        </w:numPr>
        <w:jc w:val="left"/>
      </w:pPr>
      <w:r>
        <w:t>+</w:t>
      </w:r>
      <w:r w:rsidR="003D1276">
        <w:t xml:space="preserve">6 k€ en mayor número de traducciones para los distintos informes que se prevén realizar. </w:t>
      </w:r>
    </w:p>
    <w:p w14:paraId="72C14262" w14:textId="77777777" w:rsidR="00177491" w:rsidRPr="00EB6871" w:rsidRDefault="00177491" w:rsidP="00084399"/>
    <w:p w14:paraId="6D320399" w14:textId="77777777" w:rsidR="00C627D5" w:rsidRPr="00EB6871" w:rsidRDefault="00C627D5" w:rsidP="00084399">
      <w:pPr>
        <w:sectPr w:rsidR="00C627D5" w:rsidRPr="00EB6871" w:rsidSect="007027B8">
          <w:headerReference w:type="default" r:id="rId18"/>
          <w:footerReference w:type="default" r:id="rId19"/>
          <w:headerReference w:type="first" r:id="rId20"/>
          <w:pgSz w:w="11906" w:h="16838"/>
          <w:pgMar w:top="1843" w:right="1701" w:bottom="1417" w:left="1701" w:header="708" w:footer="708" w:gutter="0"/>
          <w:cols w:space="708"/>
          <w:titlePg/>
          <w:docGrid w:linePitch="360"/>
        </w:sectPr>
      </w:pPr>
    </w:p>
    <w:p w14:paraId="248F3AA0" w14:textId="56F4F807" w:rsidR="00177491" w:rsidRPr="00EB6871" w:rsidRDefault="00177491" w:rsidP="00084399"/>
    <w:bookmarkStart w:id="11" w:name="_Toc55902058"/>
    <w:bookmarkStart w:id="12" w:name="_Toc85297120"/>
    <w:p w14:paraId="26FA289A" w14:textId="4C0AA0F4" w:rsidR="00177491" w:rsidRPr="00EB6871" w:rsidRDefault="00820A71" w:rsidP="00820A71">
      <w:pPr>
        <w:pStyle w:val="Ttulo1"/>
        <w:numPr>
          <w:ilvl w:val="0"/>
          <w:numId w:val="0"/>
        </w:numPr>
        <w:ind w:left="284" w:hanging="284"/>
      </w:pPr>
      <w:r w:rsidRPr="00F1717C">
        <w:rPr>
          <w:noProof/>
        </w:rPr>
        <mc:AlternateContent>
          <mc:Choice Requires="wps">
            <w:drawing>
              <wp:anchor distT="0" distB="0" distL="114300" distR="114300" simplePos="0" relativeHeight="251658245" behindDoc="0" locked="1" layoutInCell="1" allowOverlap="1" wp14:anchorId="5E2941B8" wp14:editId="68462386">
                <wp:simplePos x="0" y="0"/>
                <wp:positionH relativeFrom="page">
                  <wp:posOffset>914400</wp:posOffset>
                </wp:positionH>
                <wp:positionV relativeFrom="page">
                  <wp:posOffset>1264920</wp:posOffset>
                </wp:positionV>
                <wp:extent cx="4029710" cy="318770"/>
                <wp:effectExtent l="0" t="0" r="8890" b="5080"/>
                <wp:wrapTopAndBottom/>
                <wp:docPr id="8" name="Cuadro de texto 8"/>
                <wp:cNvGraphicFramePr/>
                <a:graphic xmlns:a="http://schemas.openxmlformats.org/drawingml/2006/main">
                  <a:graphicData uri="http://schemas.microsoft.com/office/word/2010/wordprocessingShape">
                    <wps:wsp>
                      <wps:cNvSpPr txBox="1"/>
                      <wps:spPr>
                        <a:xfrm>
                          <a:off x="0" y="0"/>
                          <a:ext cx="4029710" cy="318770"/>
                        </a:xfrm>
                        <a:prstGeom prst="rect">
                          <a:avLst/>
                        </a:prstGeom>
                        <a:solidFill>
                          <a:srgbClr val="C00000"/>
                        </a:solidFill>
                        <a:ln w="6350">
                          <a:noFill/>
                        </a:ln>
                      </wps:spPr>
                      <wps:txbx>
                        <w:txbxContent>
                          <w:p w14:paraId="79F06437" w14:textId="2CB4DE94" w:rsidR="0065362D" w:rsidRPr="00F1717C" w:rsidRDefault="0065362D" w:rsidP="00820A71">
                            <w:pPr>
                              <w:pStyle w:val="Ttulo1"/>
                            </w:pPr>
                            <w:bookmarkStart w:id="13" w:name="_Toc85297119"/>
                            <w:r w:rsidRPr="00EB6871">
                              <w:t>PREVISIÓN DE TESORERÍA PARA EL EJERCICIO 2021</w:t>
                            </w:r>
                            <w:r w:rsidR="003D1276">
                              <w:t>2</w:t>
                            </w:r>
                            <w:bookmarkEnd w:id="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941B8" id="Cuadro de texto 8" o:spid="_x0000_s1030" type="#_x0000_t202" style="position:absolute;left:0;text-align:left;margin-left:1in;margin-top:99.6pt;width:317.3pt;height:25.1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" fillcolor="#c00000" stroked="f" strokeweight=".5pt">
                <v:textbox>
                  <w:txbxContent>
                    <w:p w14:paraId="79F06437" w14:textId="2CB4DE94" w:rsidR="0065362D" w:rsidRPr="00F1717C" w:rsidRDefault="0065362D" w:rsidP="00820A71">
                      <w:pPr>
                        <w:pStyle w:val="Ttulo1"/>
                      </w:pPr>
                      <w:bookmarkStart w:id="19" w:name="_Toc85297119"/>
                      <w:r w:rsidRPr="00EB6871">
                        <w:t>PREVISIÓN DE TESORERÍA PARA EL EJERCICIO 2021</w:t>
                      </w:r>
                      <w:r w:rsidR="003D1276">
                        <w:t>2</w:t>
                      </w:r>
                      <w:bookmarkEnd w:id="19"/>
                    </w:p>
                  </w:txbxContent>
                </v:textbox>
                <w10:wrap type="topAndBottom" anchorx="page" anchory="page"/>
                <w10:anchorlock/>
              </v:shape>
            </w:pict>
          </mc:Fallback>
        </mc:AlternateContent>
      </w:r>
      <w:bookmarkEnd w:id="11"/>
      <w:bookmarkEnd w:id="12"/>
    </w:p>
    <w:p w14:paraId="65F46EAA" w14:textId="6EB40275" w:rsidR="00177491" w:rsidRPr="00EB6871" w:rsidRDefault="00177491" w:rsidP="00FA1E85">
      <w:pPr>
        <w:jc w:val="left"/>
      </w:pPr>
      <w:r w:rsidRPr="00EB6871">
        <w:t>La previsión de tesorería que se presenta para el ejercicio 202</w:t>
      </w:r>
      <w:r w:rsidR="003D1276">
        <w:t>2</w:t>
      </w:r>
      <w:r w:rsidRPr="00EB6871">
        <w:t xml:space="preserve"> no muestra tensiones ya que se dispone de un excedente de caja acumulado con un saldo significativo a previsión de cierre, a 31 de diciembre de 202</w:t>
      </w:r>
      <w:r w:rsidR="003D1276">
        <w:t>2</w:t>
      </w:r>
      <w:r w:rsidRPr="00EB6871">
        <w:t xml:space="preserve">, de </w:t>
      </w:r>
      <w:r w:rsidR="00A3304B">
        <w:t>3.885.536</w:t>
      </w:r>
      <w:r w:rsidRPr="00EB6871">
        <w:t xml:space="preserve"> €. Este saldo contempla que</w:t>
      </w:r>
      <w:r w:rsidR="00A521F1">
        <w:t xml:space="preserve"> en enero 2022 se liquidará la deuda </w:t>
      </w:r>
      <w:r w:rsidR="00E12D69" w:rsidRPr="00EB6871">
        <w:t>pendiente a GSMA relacionado con el Host City Parties Agreement 2012-2013</w:t>
      </w:r>
      <w:r w:rsidR="00D76616" w:rsidRPr="00EB6871">
        <w:t xml:space="preserve"> y que se </w:t>
      </w:r>
      <w:r w:rsidR="00D76616" w:rsidRPr="00CA64E3">
        <w:t>refleja en la partida</w:t>
      </w:r>
      <w:r w:rsidR="00D76616" w:rsidRPr="00EB6871">
        <w:t xml:space="preserve"> de proveedores</w:t>
      </w:r>
      <w:r w:rsidR="00E12D69" w:rsidRPr="00EB6871">
        <w:t xml:space="preserve"> en el Balance.</w:t>
      </w:r>
      <w:r w:rsidR="001A30BF">
        <w:t xml:space="preserve"> Se contempla además, el segundo plazo de la ampliación de capital a su sociedad limitada 100% participada, Barcelona Mobile Ventures, S.L durante el mes de Julio de 2022, tal y como se hizo en 2021, gracias al compromiso de l’Ajuntament de Barcelona y ratificado por el Patronato del traspaso de hasta 2M € del patrimonio de la Fundación</w:t>
      </w:r>
      <w:r w:rsidR="000234B7">
        <w:t xml:space="preserve"> en cuatro años (2021-2024).</w:t>
      </w:r>
    </w:p>
    <w:p w14:paraId="3F902114" w14:textId="77777777" w:rsidR="00177491" w:rsidRPr="00EB6871" w:rsidRDefault="00177491" w:rsidP="00084399"/>
    <w:p w14:paraId="1751CD6A" w14:textId="146B4CA6" w:rsidR="00177491" w:rsidRPr="00EB6871" w:rsidRDefault="00335472" w:rsidP="00084399">
      <w:r>
        <w:rPr>
          <w:noProof/>
        </w:rPr>
        <w:drawing>
          <wp:inline distT="0" distB="0" distL="0" distR="0" wp14:anchorId="7A41F48B" wp14:editId="4174C4B0">
            <wp:extent cx="9290977" cy="2150669"/>
            <wp:effectExtent l="0" t="0" r="571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4490" cy="2163056"/>
                    </a:xfrm>
                    <a:prstGeom prst="rect">
                      <a:avLst/>
                    </a:prstGeom>
                    <a:noFill/>
                    <a:ln>
                      <a:noFill/>
                    </a:ln>
                  </pic:spPr>
                </pic:pic>
              </a:graphicData>
            </a:graphic>
          </wp:inline>
        </w:drawing>
      </w:r>
    </w:p>
    <w:p w14:paraId="380DDAA3" w14:textId="068976CF" w:rsidR="00ED24FF" w:rsidRPr="00EB6871" w:rsidRDefault="00ED24FF" w:rsidP="00084399"/>
    <w:p w14:paraId="390F77C6" w14:textId="2172B5FB" w:rsidR="00ED24FF" w:rsidRPr="00EB6871" w:rsidRDefault="00ED24FF" w:rsidP="00084399"/>
    <w:p w14:paraId="7AB0E9C3" w14:textId="77777777" w:rsidR="00C63CFF" w:rsidRDefault="00C63CFF" w:rsidP="00084399">
      <w:pPr>
        <w:sectPr w:rsidR="00C63CFF" w:rsidSect="00C63CFF">
          <w:pgSz w:w="16838" w:h="11906" w:orient="landscape" w:code="9"/>
          <w:pgMar w:top="1701" w:right="1418" w:bottom="1701" w:left="1418" w:header="709" w:footer="709" w:gutter="0"/>
          <w:cols w:space="708"/>
          <w:docGrid w:linePitch="360"/>
        </w:sectPr>
      </w:pPr>
    </w:p>
    <w:p w14:paraId="0FD1E011" w14:textId="33183C6B" w:rsidR="00177491" w:rsidRPr="00EB6871" w:rsidRDefault="00820A71" w:rsidP="001709D5">
      <w:r w:rsidRPr="00F1717C">
        <w:rPr>
          <w:noProof/>
        </w:rPr>
        <w:lastRenderedPageBreak/>
        <mc:AlternateContent>
          <mc:Choice Requires="wps">
            <w:drawing>
              <wp:anchor distT="0" distB="0" distL="114300" distR="114300" simplePos="0" relativeHeight="251658246" behindDoc="0" locked="1" layoutInCell="1" allowOverlap="1" wp14:anchorId="03C51CC3" wp14:editId="6B06FBAE">
                <wp:simplePos x="0" y="0"/>
                <wp:positionH relativeFrom="margin">
                  <wp:align>left</wp:align>
                </wp:positionH>
                <wp:positionV relativeFrom="page">
                  <wp:posOffset>1102995</wp:posOffset>
                </wp:positionV>
                <wp:extent cx="5076190" cy="393700"/>
                <wp:effectExtent l="0" t="0" r="0" b="6350"/>
                <wp:wrapTopAndBottom/>
                <wp:docPr id="9" name="Cuadro de texto 9"/>
                <wp:cNvGraphicFramePr/>
                <a:graphic xmlns:a="http://schemas.openxmlformats.org/drawingml/2006/main">
                  <a:graphicData uri="http://schemas.microsoft.com/office/word/2010/wordprocessingShape">
                    <wps:wsp>
                      <wps:cNvSpPr txBox="1"/>
                      <wps:spPr>
                        <a:xfrm>
                          <a:off x="0" y="0"/>
                          <a:ext cx="5076190" cy="393700"/>
                        </a:xfrm>
                        <a:prstGeom prst="rect">
                          <a:avLst/>
                        </a:prstGeom>
                        <a:solidFill>
                          <a:srgbClr val="C00000"/>
                        </a:solidFill>
                        <a:ln w="6350">
                          <a:noFill/>
                        </a:ln>
                      </wps:spPr>
                      <wps:txbx>
                        <w:txbxContent>
                          <w:p w14:paraId="107B61DD" w14:textId="19DC6135" w:rsidR="0065362D" w:rsidRDefault="0065362D" w:rsidP="00820A71">
                            <w:pPr>
                              <w:pStyle w:val="Ttulo1"/>
                            </w:pPr>
                            <w:bookmarkStart w:id="14" w:name="_Toc85297121"/>
                            <w:r w:rsidRPr="00EB6871">
                              <w:t>P&amp;L DEL PRESUPUESTO 2021 POR PROGRAMAS Y ACTIVIDADES</w:t>
                            </w:r>
                            <w:bookmarkEnd w:id="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51CC3" id="Cuadro de texto 9" o:spid="_x0000_s1031" type="#_x0000_t202" style="position:absolute;left:0;text-align:left;margin-left:0;margin-top:86.85pt;width:399.7pt;height:31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" fillcolor="#c00000" stroked="f" strokeweight=".5pt">
                <v:textbox>
                  <w:txbxContent>
                    <w:p w14:paraId="107B61DD" w14:textId="19DC6135" w:rsidR="0065362D" w:rsidRDefault="0065362D" w:rsidP="00820A71">
                      <w:pPr>
                        <w:pStyle w:val="Ttulo1"/>
                      </w:pPr>
                      <w:bookmarkStart w:id="21" w:name="_Toc85297121"/>
                      <w:r w:rsidRPr="00EB6871">
                        <w:t>P&amp;L DEL PRESUPUESTO 2021 POR PROGRAMAS Y ACTIVIDADES</w:t>
                      </w:r>
                      <w:bookmarkEnd w:id="21"/>
                    </w:p>
                  </w:txbxContent>
                </v:textbox>
                <w10:wrap type="topAndBottom" anchorx="margin" anchory="page"/>
                <w10:anchorlock/>
              </v:shape>
            </w:pict>
          </mc:Fallback>
        </mc:AlternateContent>
      </w:r>
    </w:p>
    <w:tbl>
      <w:tblPr>
        <w:tblW w:w="9144" w:type="dxa"/>
        <w:tblInd w:w="70" w:type="dxa"/>
        <w:tblCellMar>
          <w:left w:w="70" w:type="dxa"/>
          <w:right w:w="70" w:type="dxa"/>
        </w:tblCellMar>
        <w:tblLook w:val="04A0" w:firstRow="1" w:lastRow="0" w:firstColumn="1" w:lastColumn="0" w:noHBand="0" w:noVBand="1"/>
      </w:tblPr>
      <w:tblGrid>
        <w:gridCol w:w="5459"/>
        <w:gridCol w:w="1559"/>
        <w:gridCol w:w="2126"/>
      </w:tblGrid>
      <w:tr w:rsidR="001709D5" w:rsidRPr="001709D5" w14:paraId="02BC9442" w14:textId="77777777" w:rsidTr="001709D5">
        <w:trPr>
          <w:trHeight w:val="510"/>
        </w:trPr>
        <w:tc>
          <w:tcPr>
            <w:tcW w:w="5459" w:type="dxa"/>
            <w:tcBorders>
              <w:top w:val="nil"/>
              <w:left w:val="nil"/>
              <w:bottom w:val="nil"/>
              <w:right w:val="nil"/>
            </w:tcBorders>
            <w:shd w:val="clear" w:color="auto" w:fill="auto"/>
            <w:noWrap/>
            <w:vAlign w:val="center"/>
            <w:hideMark/>
          </w:tcPr>
          <w:p w14:paraId="71952DD5" w14:textId="77777777" w:rsidR="001709D5" w:rsidRPr="001709D5" w:rsidRDefault="001709D5" w:rsidP="00695E28">
            <w:pPr>
              <w:spacing w:after="0" w:line="240" w:lineRule="auto"/>
              <w:rPr>
                <w:rFonts w:eastAsia="Times New Roman"/>
                <w:color w:val="000000"/>
                <w:sz w:val="18"/>
                <w:szCs w:val="18"/>
                <w:lang w:eastAsia="es-ES"/>
              </w:rPr>
            </w:pPr>
          </w:p>
        </w:tc>
        <w:tc>
          <w:tcPr>
            <w:tcW w:w="1559" w:type="dxa"/>
            <w:tcBorders>
              <w:top w:val="nil"/>
              <w:left w:val="nil"/>
              <w:bottom w:val="nil"/>
              <w:right w:val="nil"/>
            </w:tcBorders>
            <w:shd w:val="clear" w:color="auto" w:fill="auto"/>
            <w:vAlign w:val="bottom"/>
            <w:hideMark/>
          </w:tcPr>
          <w:p w14:paraId="030C4243" w14:textId="77777777" w:rsidR="001709D5" w:rsidRPr="001709D5" w:rsidRDefault="001709D5" w:rsidP="00695E28">
            <w:pPr>
              <w:spacing w:after="0" w:line="240" w:lineRule="auto"/>
              <w:rPr>
                <w:rFonts w:eastAsia="Times New Roman"/>
                <w:color w:val="000000"/>
                <w:sz w:val="18"/>
                <w:szCs w:val="18"/>
                <w:lang w:eastAsia="es-ES"/>
              </w:rPr>
            </w:pPr>
          </w:p>
        </w:tc>
        <w:tc>
          <w:tcPr>
            <w:tcW w:w="2126" w:type="dxa"/>
            <w:tcBorders>
              <w:top w:val="nil"/>
              <w:left w:val="nil"/>
              <w:bottom w:val="nil"/>
              <w:right w:val="nil"/>
            </w:tcBorders>
            <w:shd w:val="clear" w:color="auto" w:fill="C00000"/>
            <w:vAlign w:val="center"/>
            <w:hideMark/>
          </w:tcPr>
          <w:p w14:paraId="0856BDD0" w14:textId="414993AF" w:rsidR="001709D5" w:rsidRPr="001709D5" w:rsidRDefault="001709D5" w:rsidP="00695E28">
            <w:pPr>
              <w:spacing w:after="0" w:line="240" w:lineRule="auto"/>
              <w:jc w:val="center"/>
              <w:rPr>
                <w:rStyle w:val="nfasissutil"/>
              </w:rPr>
            </w:pPr>
            <w:r w:rsidRPr="001709D5">
              <w:rPr>
                <w:rStyle w:val="nfasissutil"/>
              </w:rPr>
              <w:t>Presupuesto 202</w:t>
            </w:r>
            <w:r w:rsidR="00601C18">
              <w:rPr>
                <w:rStyle w:val="nfasissutil"/>
              </w:rPr>
              <w:t>2</w:t>
            </w:r>
          </w:p>
        </w:tc>
      </w:tr>
      <w:tr w:rsidR="001709D5" w:rsidRPr="001709D5" w14:paraId="0D31468C" w14:textId="77777777" w:rsidTr="00695E28">
        <w:trPr>
          <w:trHeight w:val="300"/>
        </w:trPr>
        <w:tc>
          <w:tcPr>
            <w:tcW w:w="5459" w:type="dxa"/>
            <w:tcBorders>
              <w:top w:val="nil"/>
              <w:left w:val="nil"/>
              <w:bottom w:val="nil"/>
              <w:right w:val="nil"/>
            </w:tcBorders>
            <w:shd w:val="clear" w:color="000000" w:fill="BFBFBF"/>
            <w:noWrap/>
            <w:vAlign w:val="bottom"/>
            <w:hideMark/>
          </w:tcPr>
          <w:p w14:paraId="17905B39" w14:textId="77777777" w:rsidR="001709D5" w:rsidRPr="001709D5" w:rsidRDefault="001709D5" w:rsidP="00695E28">
            <w:pPr>
              <w:spacing w:after="0" w:line="240" w:lineRule="auto"/>
              <w:rPr>
                <w:rFonts w:eastAsia="Times New Roman"/>
                <w:b/>
                <w:bCs/>
                <w:color w:val="000000"/>
                <w:sz w:val="18"/>
                <w:szCs w:val="18"/>
                <w:lang w:eastAsia="es-ES"/>
              </w:rPr>
            </w:pPr>
            <w:r w:rsidRPr="001709D5">
              <w:rPr>
                <w:rFonts w:eastAsia="Times New Roman"/>
                <w:b/>
                <w:bCs/>
                <w:color w:val="000000"/>
                <w:sz w:val="18"/>
                <w:szCs w:val="18"/>
                <w:lang w:eastAsia="es-ES"/>
              </w:rPr>
              <w:t xml:space="preserve"> Ingresos por las actividades </w:t>
            </w:r>
          </w:p>
        </w:tc>
        <w:tc>
          <w:tcPr>
            <w:tcW w:w="1559" w:type="dxa"/>
            <w:tcBorders>
              <w:top w:val="nil"/>
              <w:left w:val="nil"/>
              <w:bottom w:val="nil"/>
              <w:right w:val="nil"/>
            </w:tcBorders>
            <w:shd w:val="clear" w:color="000000" w:fill="BFBFBF"/>
            <w:noWrap/>
            <w:vAlign w:val="bottom"/>
            <w:hideMark/>
          </w:tcPr>
          <w:p w14:paraId="18084739" w14:textId="77777777" w:rsidR="001709D5" w:rsidRPr="001709D5" w:rsidRDefault="001709D5" w:rsidP="00695E28">
            <w:pPr>
              <w:spacing w:after="0" w:line="240" w:lineRule="auto"/>
              <w:rPr>
                <w:rFonts w:eastAsia="Times New Roman"/>
                <w:b/>
                <w:bCs/>
                <w:color w:val="000000"/>
                <w:sz w:val="18"/>
                <w:szCs w:val="18"/>
                <w:lang w:eastAsia="es-ES"/>
              </w:rPr>
            </w:pPr>
            <w:r w:rsidRPr="001709D5">
              <w:rPr>
                <w:rFonts w:eastAsia="Times New Roman"/>
                <w:b/>
                <w:bCs/>
                <w:color w:val="000000"/>
                <w:sz w:val="18"/>
                <w:szCs w:val="18"/>
                <w:lang w:eastAsia="es-ES"/>
              </w:rPr>
              <w:t> </w:t>
            </w:r>
          </w:p>
        </w:tc>
        <w:tc>
          <w:tcPr>
            <w:tcW w:w="2126" w:type="dxa"/>
            <w:tcBorders>
              <w:top w:val="nil"/>
              <w:left w:val="nil"/>
              <w:bottom w:val="nil"/>
              <w:right w:val="nil"/>
            </w:tcBorders>
            <w:shd w:val="clear" w:color="000000" w:fill="BFBFBF"/>
            <w:noWrap/>
            <w:vAlign w:val="bottom"/>
            <w:hideMark/>
          </w:tcPr>
          <w:p w14:paraId="10A10B0A" w14:textId="5EFBFF89" w:rsidR="001709D5" w:rsidRPr="001709D5" w:rsidRDefault="00BC1666" w:rsidP="00695E28">
            <w:pPr>
              <w:spacing w:after="0" w:line="240" w:lineRule="auto"/>
              <w:jc w:val="center"/>
              <w:rPr>
                <w:rFonts w:eastAsia="Times New Roman"/>
                <w:b/>
                <w:bCs/>
                <w:color w:val="000000"/>
                <w:sz w:val="18"/>
                <w:szCs w:val="18"/>
                <w:lang w:eastAsia="es-ES"/>
              </w:rPr>
            </w:pPr>
            <w:r>
              <w:rPr>
                <w:rFonts w:eastAsia="Times New Roman"/>
                <w:b/>
                <w:bCs/>
                <w:color w:val="000000"/>
                <w:sz w:val="18"/>
                <w:szCs w:val="18"/>
                <w:lang w:eastAsia="es-ES"/>
              </w:rPr>
              <w:t>20.</w:t>
            </w:r>
            <w:r w:rsidR="000670AC">
              <w:rPr>
                <w:rFonts w:eastAsia="Times New Roman"/>
                <w:b/>
                <w:bCs/>
                <w:color w:val="000000"/>
                <w:sz w:val="18"/>
                <w:szCs w:val="18"/>
                <w:lang w:eastAsia="es-ES"/>
              </w:rPr>
              <w:t>3</w:t>
            </w:r>
            <w:r>
              <w:rPr>
                <w:rFonts w:eastAsia="Times New Roman"/>
                <w:b/>
                <w:bCs/>
                <w:color w:val="000000"/>
                <w:sz w:val="18"/>
                <w:szCs w:val="18"/>
                <w:lang w:eastAsia="es-ES"/>
              </w:rPr>
              <w:t>52.765</w:t>
            </w:r>
          </w:p>
        </w:tc>
      </w:tr>
      <w:tr w:rsidR="001709D5" w:rsidRPr="001709D5" w14:paraId="7205A96A" w14:textId="77777777" w:rsidTr="00695E28">
        <w:trPr>
          <w:trHeight w:val="300"/>
        </w:trPr>
        <w:tc>
          <w:tcPr>
            <w:tcW w:w="5459" w:type="dxa"/>
            <w:tcBorders>
              <w:top w:val="nil"/>
              <w:left w:val="nil"/>
              <w:bottom w:val="nil"/>
              <w:right w:val="nil"/>
            </w:tcBorders>
            <w:shd w:val="clear" w:color="auto" w:fill="auto"/>
            <w:noWrap/>
            <w:vAlign w:val="bottom"/>
            <w:hideMark/>
          </w:tcPr>
          <w:p w14:paraId="366C3292"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 xml:space="preserve">Prestación de servicios, promociones, patrocinadores </w:t>
            </w:r>
          </w:p>
        </w:tc>
        <w:tc>
          <w:tcPr>
            <w:tcW w:w="1559" w:type="dxa"/>
            <w:tcBorders>
              <w:top w:val="nil"/>
              <w:left w:val="nil"/>
              <w:bottom w:val="nil"/>
              <w:right w:val="nil"/>
            </w:tcBorders>
            <w:shd w:val="clear" w:color="auto" w:fill="auto"/>
            <w:noWrap/>
            <w:vAlign w:val="center"/>
            <w:hideMark/>
          </w:tcPr>
          <w:p w14:paraId="6FDCE289"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705</w:t>
            </w:r>
          </w:p>
        </w:tc>
        <w:tc>
          <w:tcPr>
            <w:tcW w:w="2126" w:type="dxa"/>
            <w:tcBorders>
              <w:top w:val="nil"/>
              <w:left w:val="nil"/>
              <w:bottom w:val="nil"/>
              <w:right w:val="nil"/>
            </w:tcBorders>
            <w:shd w:val="clear" w:color="auto" w:fill="auto"/>
            <w:noWrap/>
            <w:vAlign w:val="bottom"/>
            <w:hideMark/>
          </w:tcPr>
          <w:p w14:paraId="07EB8979" w14:textId="0BAB9CD7" w:rsidR="001709D5" w:rsidRPr="001709D5" w:rsidRDefault="00BC1666" w:rsidP="00695E28">
            <w:pPr>
              <w:spacing w:after="0" w:line="240" w:lineRule="auto"/>
              <w:jc w:val="center"/>
              <w:rPr>
                <w:rFonts w:eastAsia="Times New Roman"/>
                <w:sz w:val="18"/>
                <w:szCs w:val="18"/>
                <w:lang w:eastAsia="es-ES"/>
              </w:rPr>
            </w:pPr>
            <w:r>
              <w:rPr>
                <w:rFonts w:eastAsia="Times New Roman"/>
                <w:sz w:val="18"/>
                <w:szCs w:val="18"/>
                <w:lang w:eastAsia="es-ES"/>
              </w:rPr>
              <w:t>161.719</w:t>
            </w:r>
          </w:p>
        </w:tc>
      </w:tr>
      <w:tr w:rsidR="001709D5" w:rsidRPr="001709D5" w14:paraId="6F9F21E6" w14:textId="77777777" w:rsidTr="00695E28">
        <w:trPr>
          <w:trHeight w:val="300"/>
        </w:trPr>
        <w:tc>
          <w:tcPr>
            <w:tcW w:w="5459" w:type="dxa"/>
            <w:tcBorders>
              <w:top w:val="nil"/>
              <w:left w:val="nil"/>
              <w:bottom w:val="nil"/>
              <w:right w:val="nil"/>
            </w:tcBorders>
            <w:shd w:val="clear" w:color="auto" w:fill="auto"/>
            <w:noWrap/>
            <w:vAlign w:val="bottom"/>
            <w:hideMark/>
          </w:tcPr>
          <w:p w14:paraId="5E414C21"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Ingresos de promociones, patrocinadores i colaboraciones</w:t>
            </w:r>
          </w:p>
        </w:tc>
        <w:tc>
          <w:tcPr>
            <w:tcW w:w="1559" w:type="dxa"/>
            <w:tcBorders>
              <w:top w:val="nil"/>
              <w:left w:val="nil"/>
              <w:bottom w:val="nil"/>
              <w:right w:val="nil"/>
            </w:tcBorders>
            <w:shd w:val="clear" w:color="auto" w:fill="auto"/>
            <w:noWrap/>
            <w:vAlign w:val="center"/>
            <w:hideMark/>
          </w:tcPr>
          <w:p w14:paraId="0A127B50"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723</w:t>
            </w:r>
          </w:p>
        </w:tc>
        <w:tc>
          <w:tcPr>
            <w:tcW w:w="2126" w:type="dxa"/>
            <w:tcBorders>
              <w:top w:val="nil"/>
              <w:left w:val="nil"/>
              <w:bottom w:val="nil"/>
              <w:right w:val="nil"/>
            </w:tcBorders>
            <w:shd w:val="clear" w:color="auto" w:fill="auto"/>
            <w:noWrap/>
            <w:vAlign w:val="bottom"/>
            <w:hideMark/>
          </w:tcPr>
          <w:p w14:paraId="02116011" w14:textId="4A77AFD5" w:rsidR="001709D5" w:rsidRPr="001709D5" w:rsidRDefault="00BC1666" w:rsidP="00695E28">
            <w:pPr>
              <w:spacing w:after="0" w:line="240" w:lineRule="auto"/>
              <w:jc w:val="center"/>
              <w:rPr>
                <w:rFonts w:eastAsia="Times New Roman"/>
                <w:sz w:val="18"/>
                <w:szCs w:val="18"/>
                <w:lang w:eastAsia="es-ES"/>
              </w:rPr>
            </w:pPr>
            <w:r>
              <w:rPr>
                <w:rFonts w:eastAsia="Times New Roman"/>
                <w:sz w:val="18"/>
                <w:szCs w:val="18"/>
                <w:lang w:eastAsia="es-ES"/>
              </w:rPr>
              <w:t>995.000</w:t>
            </w:r>
          </w:p>
        </w:tc>
      </w:tr>
      <w:tr w:rsidR="001709D5" w:rsidRPr="001709D5" w14:paraId="2AE9FA6F" w14:textId="77777777" w:rsidTr="00695E28">
        <w:trPr>
          <w:trHeight w:val="300"/>
        </w:trPr>
        <w:tc>
          <w:tcPr>
            <w:tcW w:w="5459" w:type="dxa"/>
            <w:tcBorders>
              <w:top w:val="nil"/>
              <w:left w:val="nil"/>
              <w:bottom w:val="nil"/>
              <w:right w:val="nil"/>
            </w:tcBorders>
            <w:shd w:val="clear" w:color="auto" w:fill="auto"/>
            <w:noWrap/>
            <w:vAlign w:val="bottom"/>
            <w:hideMark/>
          </w:tcPr>
          <w:p w14:paraId="46E45776"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Subvenciones, donaciones y legados a la explotación</w:t>
            </w:r>
          </w:p>
        </w:tc>
        <w:tc>
          <w:tcPr>
            <w:tcW w:w="1559" w:type="dxa"/>
            <w:tcBorders>
              <w:top w:val="nil"/>
              <w:left w:val="nil"/>
              <w:bottom w:val="nil"/>
              <w:right w:val="nil"/>
            </w:tcBorders>
            <w:shd w:val="clear" w:color="auto" w:fill="auto"/>
            <w:noWrap/>
            <w:vAlign w:val="center"/>
            <w:hideMark/>
          </w:tcPr>
          <w:p w14:paraId="40FC31CB"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740</w:t>
            </w:r>
          </w:p>
        </w:tc>
        <w:tc>
          <w:tcPr>
            <w:tcW w:w="2126" w:type="dxa"/>
            <w:tcBorders>
              <w:top w:val="nil"/>
              <w:left w:val="nil"/>
              <w:bottom w:val="nil"/>
              <w:right w:val="nil"/>
            </w:tcBorders>
            <w:shd w:val="clear" w:color="auto" w:fill="auto"/>
            <w:noWrap/>
            <w:vAlign w:val="bottom"/>
            <w:hideMark/>
          </w:tcPr>
          <w:p w14:paraId="260F101D" w14:textId="6C6B5F45" w:rsidR="001709D5" w:rsidRPr="001709D5" w:rsidRDefault="000670AC" w:rsidP="00695E28">
            <w:pPr>
              <w:spacing w:after="0" w:line="240" w:lineRule="auto"/>
              <w:jc w:val="center"/>
              <w:rPr>
                <w:rFonts w:eastAsia="Times New Roman"/>
                <w:sz w:val="18"/>
                <w:szCs w:val="18"/>
                <w:lang w:eastAsia="es-ES"/>
              </w:rPr>
            </w:pPr>
            <w:r>
              <w:rPr>
                <w:rFonts w:eastAsia="Times New Roman"/>
                <w:sz w:val="18"/>
                <w:szCs w:val="18"/>
                <w:lang w:eastAsia="es-ES"/>
              </w:rPr>
              <w:t>18.011.046</w:t>
            </w:r>
          </w:p>
        </w:tc>
      </w:tr>
      <w:tr w:rsidR="001709D5" w:rsidRPr="001709D5" w14:paraId="0DBE91D5" w14:textId="77777777" w:rsidTr="00695E28">
        <w:trPr>
          <w:trHeight w:val="300"/>
        </w:trPr>
        <w:tc>
          <w:tcPr>
            <w:tcW w:w="5459" w:type="dxa"/>
            <w:tcBorders>
              <w:top w:val="nil"/>
              <w:left w:val="nil"/>
              <w:bottom w:val="nil"/>
              <w:right w:val="nil"/>
            </w:tcBorders>
            <w:shd w:val="clear" w:color="auto" w:fill="auto"/>
            <w:noWrap/>
            <w:vAlign w:val="bottom"/>
            <w:hideMark/>
          </w:tcPr>
          <w:p w14:paraId="6D393C41"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 xml:space="preserve">Donaciones y otros ingresos por la actividad </w:t>
            </w:r>
          </w:p>
        </w:tc>
        <w:tc>
          <w:tcPr>
            <w:tcW w:w="1559" w:type="dxa"/>
            <w:tcBorders>
              <w:top w:val="nil"/>
              <w:left w:val="nil"/>
              <w:bottom w:val="nil"/>
              <w:right w:val="nil"/>
            </w:tcBorders>
            <w:shd w:val="clear" w:color="auto" w:fill="auto"/>
            <w:noWrap/>
            <w:vAlign w:val="center"/>
            <w:hideMark/>
          </w:tcPr>
          <w:p w14:paraId="47C971D7"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747</w:t>
            </w:r>
          </w:p>
        </w:tc>
        <w:tc>
          <w:tcPr>
            <w:tcW w:w="2126" w:type="dxa"/>
            <w:tcBorders>
              <w:top w:val="nil"/>
              <w:left w:val="nil"/>
              <w:bottom w:val="nil"/>
              <w:right w:val="nil"/>
            </w:tcBorders>
            <w:shd w:val="clear" w:color="auto" w:fill="auto"/>
            <w:noWrap/>
            <w:vAlign w:val="bottom"/>
            <w:hideMark/>
          </w:tcPr>
          <w:p w14:paraId="1621120F" w14:textId="26CF6DA1" w:rsidR="001709D5" w:rsidRPr="001709D5" w:rsidRDefault="00BC1666" w:rsidP="00695E28">
            <w:pPr>
              <w:spacing w:after="0" w:line="240" w:lineRule="auto"/>
              <w:jc w:val="center"/>
              <w:rPr>
                <w:rFonts w:eastAsia="Times New Roman"/>
                <w:sz w:val="18"/>
                <w:szCs w:val="18"/>
                <w:lang w:eastAsia="es-ES"/>
              </w:rPr>
            </w:pPr>
            <w:r>
              <w:rPr>
                <w:rFonts w:eastAsia="Times New Roman"/>
                <w:sz w:val="18"/>
                <w:szCs w:val="18"/>
                <w:lang w:eastAsia="es-ES"/>
              </w:rPr>
              <w:t>1.185.000</w:t>
            </w:r>
          </w:p>
        </w:tc>
      </w:tr>
      <w:tr w:rsidR="001709D5" w:rsidRPr="001709D5" w14:paraId="02865F24" w14:textId="77777777" w:rsidTr="00695E28">
        <w:trPr>
          <w:trHeight w:val="300"/>
        </w:trPr>
        <w:tc>
          <w:tcPr>
            <w:tcW w:w="5459" w:type="dxa"/>
            <w:tcBorders>
              <w:top w:val="nil"/>
              <w:left w:val="nil"/>
              <w:bottom w:val="nil"/>
              <w:right w:val="nil"/>
            </w:tcBorders>
            <w:shd w:val="clear" w:color="000000" w:fill="BFBFBF"/>
            <w:noWrap/>
            <w:vAlign w:val="bottom"/>
            <w:hideMark/>
          </w:tcPr>
          <w:p w14:paraId="62ED5DB0" w14:textId="77777777" w:rsidR="001709D5" w:rsidRPr="001709D5" w:rsidRDefault="001709D5" w:rsidP="00695E28">
            <w:pPr>
              <w:spacing w:after="0" w:line="240" w:lineRule="auto"/>
              <w:rPr>
                <w:rFonts w:eastAsia="Times New Roman"/>
                <w:b/>
                <w:bCs/>
                <w:color w:val="000000"/>
                <w:sz w:val="18"/>
                <w:szCs w:val="18"/>
                <w:lang w:eastAsia="es-ES"/>
              </w:rPr>
            </w:pPr>
            <w:r w:rsidRPr="001709D5">
              <w:rPr>
                <w:rFonts w:eastAsia="Times New Roman"/>
                <w:b/>
                <w:bCs/>
                <w:color w:val="000000"/>
                <w:sz w:val="18"/>
                <w:szCs w:val="18"/>
                <w:lang w:eastAsia="es-ES"/>
              </w:rPr>
              <w:t>Gastos de personal</w:t>
            </w:r>
          </w:p>
        </w:tc>
        <w:tc>
          <w:tcPr>
            <w:tcW w:w="1559" w:type="dxa"/>
            <w:tcBorders>
              <w:top w:val="nil"/>
              <w:left w:val="nil"/>
              <w:bottom w:val="nil"/>
              <w:right w:val="nil"/>
            </w:tcBorders>
            <w:shd w:val="clear" w:color="000000" w:fill="BFBFBF"/>
            <w:noWrap/>
            <w:vAlign w:val="bottom"/>
            <w:hideMark/>
          </w:tcPr>
          <w:p w14:paraId="47300373" w14:textId="77777777" w:rsidR="001709D5" w:rsidRPr="001709D5" w:rsidRDefault="001709D5" w:rsidP="00695E28">
            <w:pPr>
              <w:spacing w:after="0" w:line="240" w:lineRule="auto"/>
              <w:rPr>
                <w:rFonts w:eastAsia="Times New Roman"/>
                <w:b/>
                <w:bCs/>
                <w:color w:val="000000"/>
                <w:sz w:val="18"/>
                <w:szCs w:val="18"/>
                <w:lang w:eastAsia="es-ES"/>
              </w:rPr>
            </w:pPr>
            <w:r w:rsidRPr="001709D5">
              <w:rPr>
                <w:rFonts w:eastAsia="Times New Roman"/>
                <w:b/>
                <w:bCs/>
                <w:color w:val="000000"/>
                <w:sz w:val="18"/>
                <w:szCs w:val="18"/>
                <w:lang w:eastAsia="es-ES"/>
              </w:rPr>
              <w:t> </w:t>
            </w:r>
          </w:p>
        </w:tc>
        <w:tc>
          <w:tcPr>
            <w:tcW w:w="2126" w:type="dxa"/>
            <w:tcBorders>
              <w:top w:val="nil"/>
              <w:left w:val="nil"/>
              <w:bottom w:val="nil"/>
              <w:right w:val="nil"/>
            </w:tcBorders>
            <w:shd w:val="clear" w:color="000000" w:fill="BFBFBF"/>
            <w:noWrap/>
            <w:vAlign w:val="bottom"/>
            <w:hideMark/>
          </w:tcPr>
          <w:p w14:paraId="18013CCE" w14:textId="3A575BE5" w:rsidR="001709D5" w:rsidRPr="001709D5" w:rsidRDefault="00BC1666" w:rsidP="00695E28">
            <w:pPr>
              <w:spacing w:after="0" w:line="240" w:lineRule="auto"/>
              <w:jc w:val="center"/>
              <w:rPr>
                <w:rFonts w:eastAsia="Times New Roman"/>
                <w:b/>
                <w:bCs/>
                <w:color w:val="000000"/>
                <w:sz w:val="18"/>
                <w:szCs w:val="18"/>
                <w:lang w:eastAsia="es-ES"/>
              </w:rPr>
            </w:pPr>
            <w:r>
              <w:rPr>
                <w:rFonts w:eastAsia="Times New Roman"/>
                <w:b/>
                <w:bCs/>
                <w:color w:val="000000"/>
                <w:sz w:val="18"/>
                <w:szCs w:val="18"/>
                <w:lang w:eastAsia="es-ES"/>
              </w:rPr>
              <w:t>(2.841.316)</w:t>
            </w:r>
          </w:p>
        </w:tc>
      </w:tr>
      <w:tr w:rsidR="001709D5" w:rsidRPr="001709D5" w14:paraId="7E58173C" w14:textId="77777777" w:rsidTr="00695E28">
        <w:trPr>
          <w:trHeight w:val="300"/>
        </w:trPr>
        <w:tc>
          <w:tcPr>
            <w:tcW w:w="5459" w:type="dxa"/>
            <w:tcBorders>
              <w:top w:val="nil"/>
              <w:left w:val="nil"/>
              <w:bottom w:val="nil"/>
              <w:right w:val="nil"/>
            </w:tcBorders>
            <w:shd w:val="clear" w:color="auto" w:fill="auto"/>
            <w:noWrap/>
            <w:vAlign w:val="bottom"/>
            <w:hideMark/>
          </w:tcPr>
          <w:p w14:paraId="77FC934F"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Sueldos, salarios i similares</w:t>
            </w:r>
          </w:p>
        </w:tc>
        <w:tc>
          <w:tcPr>
            <w:tcW w:w="1559" w:type="dxa"/>
            <w:tcBorders>
              <w:top w:val="nil"/>
              <w:left w:val="nil"/>
              <w:bottom w:val="nil"/>
              <w:right w:val="nil"/>
            </w:tcBorders>
            <w:shd w:val="clear" w:color="auto" w:fill="auto"/>
            <w:noWrap/>
            <w:vAlign w:val="center"/>
            <w:hideMark/>
          </w:tcPr>
          <w:p w14:paraId="2FAC367D"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640</w:t>
            </w:r>
          </w:p>
        </w:tc>
        <w:tc>
          <w:tcPr>
            <w:tcW w:w="2126" w:type="dxa"/>
            <w:tcBorders>
              <w:top w:val="nil"/>
              <w:left w:val="nil"/>
              <w:bottom w:val="nil"/>
              <w:right w:val="nil"/>
            </w:tcBorders>
            <w:shd w:val="clear" w:color="auto" w:fill="auto"/>
            <w:noWrap/>
            <w:vAlign w:val="bottom"/>
            <w:hideMark/>
          </w:tcPr>
          <w:p w14:paraId="7CB31C78" w14:textId="22CE0958" w:rsidR="001709D5" w:rsidRPr="001709D5" w:rsidRDefault="001709D5" w:rsidP="00695E28">
            <w:pPr>
              <w:spacing w:after="0" w:line="240" w:lineRule="auto"/>
              <w:jc w:val="center"/>
              <w:rPr>
                <w:rFonts w:eastAsia="Times New Roman"/>
                <w:sz w:val="18"/>
                <w:szCs w:val="18"/>
                <w:lang w:eastAsia="es-ES"/>
              </w:rPr>
            </w:pPr>
            <w:r w:rsidRPr="001709D5">
              <w:rPr>
                <w:rFonts w:eastAsia="Times New Roman"/>
                <w:sz w:val="18"/>
                <w:szCs w:val="18"/>
                <w:lang w:eastAsia="es-ES"/>
              </w:rPr>
              <w:t>(2.</w:t>
            </w:r>
            <w:r w:rsidR="00BC1666">
              <w:rPr>
                <w:rFonts w:eastAsia="Times New Roman"/>
                <w:sz w:val="18"/>
                <w:szCs w:val="18"/>
                <w:lang w:eastAsia="es-ES"/>
              </w:rPr>
              <w:t>259.605)</w:t>
            </w:r>
          </w:p>
        </w:tc>
      </w:tr>
      <w:tr w:rsidR="001709D5" w:rsidRPr="001709D5" w14:paraId="79D4FDFD" w14:textId="77777777" w:rsidTr="00695E28">
        <w:trPr>
          <w:trHeight w:val="300"/>
        </w:trPr>
        <w:tc>
          <w:tcPr>
            <w:tcW w:w="5459" w:type="dxa"/>
            <w:tcBorders>
              <w:top w:val="nil"/>
              <w:left w:val="nil"/>
              <w:bottom w:val="nil"/>
              <w:right w:val="nil"/>
            </w:tcBorders>
            <w:shd w:val="clear" w:color="auto" w:fill="auto"/>
            <w:noWrap/>
            <w:vAlign w:val="bottom"/>
            <w:hideMark/>
          </w:tcPr>
          <w:p w14:paraId="14804B84"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Indemnizaciones</w:t>
            </w:r>
          </w:p>
        </w:tc>
        <w:tc>
          <w:tcPr>
            <w:tcW w:w="1559" w:type="dxa"/>
            <w:tcBorders>
              <w:top w:val="nil"/>
              <w:left w:val="nil"/>
              <w:bottom w:val="nil"/>
              <w:right w:val="nil"/>
            </w:tcBorders>
            <w:shd w:val="clear" w:color="auto" w:fill="auto"/>
            <w:noWrap/>
            <w:vAlign w:val="center"/>
            <w:hideMark/>
          </w:tcPr>
          <w:p w14:paraId="18DDBE07"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641</w:t>
            </w:r>
          </w:p>
        </w:tc>
        <w:tc>
          <w:tcPr>
            <w:tcW w:w="2126" w:type="dxa"/>
            <w:tcBorders>
              <w:top w:val="nil"/>
              <w:left w:val="nil"/>
              <w:bottom w:val="nil"/>
              <w:right w:val="nil"/>
            </w:tcBorders>
            <w:shd w:val="clear" w:color="auto" w:fill="auto"/>
            <w:noWrap/>
            <w:vAlign w:val="bottom"/>
            <w:hideMark/>
          </w:tcPr>
          <w:p w14:paraId="0DCFD96E" w14:textId="77777777" w:rsidR="001709D5" w:rsidRPr="001709D5" w:rsidRDefault="001709D5" w:rsidP="00695E28">
            <w:pPr>
              <w:spacing w:after="0" w:line="240" w:lineRule="auto"/>
              <w:jc w:val="center"/>
              <w:rPr>
                <w:rFonts w:eastAsia="Times New Roman"/>
                <w:sz w:val="18"/>
                <w:szCs w:val="18"/>
                <w:lang w:eastAsia="es-ES"/>
              </w:rPr>
            </w:pPr>
            <w:r w:rsidRPr="001709D5">
              <w:rPr>
                <w:rFonts w:eastAsia="Times New Roman"/>
                <w:sz w:val="18"/>
                <w:szCs w:val="18"/>
                <w:lang w:eastAsia="es-ES"/>
              </w:rPr>
              <w:t>-</w:t>
            </w:r>
          </w:p>
        </w:tc>
      </w:tr>
      <w:tr w:rsidR="001709D5" w:rsidRPr="001709D5" w14:paraId="58008445" w14:textId="77777777" w:rsidTr="00695E28">
        <w:trPr>
          <w:trHeight w:val="300"/>
        </w:trPr>
        <w:tc>
          <w:tcPr>
            <w:tcW w:w="5459" w:type="dxa"/>
            <w:tcBorders>
              <w:top w:val="nil"/>
              <w:left w:val="nil"/>
              <w:bottom w:val="nil"/>
              <w:right w:val="nil"/>
            </w:tcBorders>
            <w:shd w:val="clear" w:color="auto" w:fill="auto"/>
            <w:noWrap/>
            <w:vAlign w:val="bottom"/>
            <w:hideMark/>
          </w:tcPr>
          <w:p w14:paraId="7B20D97A"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Cargas sociales</w:t>
            </w:r>
          </w:p>
        </w:tc>
        <w:tc>
          <w:tcPr>
            <w:tcW w:w="1559" w:type="dxa"/>
            <w:tcBorders>
              <w:top w:val="nil"/>
              <w:left w:val="nil"/>
              <w:bottom w:val="nil"/>
              <w:right w:val="nil"/>
            </w:tcBorders>
            <w:shd w:val="clear" w:color="auto" w:fill="auto"/>
            <w:noWrap/>
            <w:vAlign w:val="center"/>
            <w:hideMark/>
          </w:tcPr>
          <w:p w14:paraId="36442637"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642</w:t>
            </w:r>
          </w:p>
        </w:tc>
        <w:tc>
          <w:tcPr>
            <w:tcW w:w="2126" w:type="dxa"/>
            <w:tcBorders>
              <w:top w:val="nil"/>
              <w:left w:val="nil"/>
              <w:bottom w:val="nil"/>
              <w:right w:val="nil"/>
            </w:tcBorders>
            <w:shd w:val="clear" w:color="auto" w:fill="auto"/>
            <w:noWrap/>
            <w:vAlign w:val="bottom"/>
            <w:hideMark/>
          </w:tcPr>
          <w:p w14:paraId="6F7AE06C" w14:textId="4E4BCF36" w:rsidR="001709D5" w:rsidRPr="001709D5" w:rsidRDefault="001709D5" w:rsidP="00695E28">
            <w:pPr>
              <w:spacing w:after="0" w:line="240" w:lineRule="auto"/>
              <w:jc w:val="center"/>
              <w:rPr>
                <w:rFonts w:eastAsia="Times New Roman"/>
                <w:sz w:val="18"/>
                <w:szCs w:val="18"/>
                <w:lang w:eastAsia="es-ES"/>
              </w:rPr>
            </w:pPr>
            <w:r w:rsidRPr="001709D5">
              <w:rPr>
                <w:rFonts w:eastAsia="Times New Roman"/>
                <w:sz w:val="18"/>
                <w:szCs w:val="18"/>
                <w:lang w:eastAsia="es-ES"/>
              </w:rPr>
              <w:t>(</w:t>
            </w:r>
            <w:r w:rsidR="00BC1666">
              <w:rPr>
                <w:rFonts w:eastAsia="Times New Roman"/>
                <w:sz w:val="18"/>
                <w:szCs w:val="18"/>
                <w:lang w:eastAsia="es-ES"/>
              </w:rPr>
              <w:t>581.711</w:t>
            </w:r>
            <w:r w:rsidRPr="001709D5">
              <w:rPr>
                <w:rFonts w:eastAsia="Times New Roman"/>
                <w:sz w:val="18"/>
                <w:szCs w:val="18"/>
                <w:lang w:eastAsia="es-ES"/>
              </w:rPr>
              <w:t>)</w:t>
            </w:r>
          </w:p>
        </w:tc>
      </w:tr>
      <w:tr w:rsidR="001709D5" w:rsidRPr="001709D5" w14:paraId="037ABF91" w14:textId="77777777" w:rsidTr="00695E28">
        <w:trPr>
          <w:trHeight w:val="300"/>
        </w:trPr>
        <w:tc>
          <w:tcPr>
            <w:tcW w:w="5459" w:type="dxa"/>
            <w:tcBorders>
              <w:top w:val="nil"/>
              <w:left w:val="nil"/>
              <w:bottom w:val="nil"/>
              <w:right w:val="nil"/>
            </w:tcBorders>
            <w:shd w:val="clear" w:color="auto" w:fill="auto"/>
            <w:noWrap/>
            <w:vAlign w:val="bottom"/>
            <w:hideMark/>
          </w:tcPr>
          <w:p w14:paraId="26DF40C8"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Otros gastos de personal</w:t>
            </w:r>
          </w:p>
        </w:tc>
        <w:tc>
          <w:tcPr>
            <w:tcW w:w="1559" w:type="dxa"/>
            <w:tcBorders>
              <w:top w:val="nil"/>
              <w:left w:val="nil"/>
              <w:bottom w:val="nil"/>
              <w:right w:val="nil"/>
            </w:tcBorders>
            <w:shd w:val="clear" w:color="auto" w:fill="auto"/>
            <w:noWrap/>
            <w:vAlign w:val="center"/>
            <w:hideMark/>
          </w:tcPr>
          <w:p w14:paraId="5DC4F9D8"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649</w:t>
            </w:r>
          </w:p>
        </w:tc>
        <w:tc>
          <w:tcPr>
            <w:tcW w:w="2126" w:type="dxa"/>
            <w:tcBorders>
              <w:top w:val="nil"/>
              <w:left w:val="nil"/>
              <w:bottom w:val="nil"/>
              <w:right w:val="nil"/>
            </w:tcBorders>
            <w:shd w:val="clear" w:color="auto" w:fill="auto"/>
            <w:noWrap/>
            <w:vAlign w:val="bottom"/>
            <w:hideMark/>
          </w:tcPr>
          <w:p w14:paraId="68B1AE5B" w14:textId="77777777" w:rsidR="001709D5" w:rsidRPr="001709D5" w:rsidRDefault="001709D5" w:rsidP="00695E28">
            <w:pPr>
              <w:spacing w:after="0" w:line="240" w:lineRule="auto"/>
              <w:jc w:val="center"/>
              <w:rPr>
                <w:rFonts w:eastAsia="Times New Roman"/>
                <w:sz w:val="18"/>
                <w:szCs w:val="18"/>
                <w:lang w:eastAsia="es-ES"/>
              </w:rPr>
            </w:pPr>
            <w:r w:rsidRPr="001709D5">
              <w:rPr>
                <w:rFonts w:eastAsia="Times New Roman"/>
                <w:sz w:val="18"/>
                <w:szCs w:val="18"/>
                <w:lang w:eastAsia="es-ES"/>
              </w:rPr>
              <w:t>-</w:t>
            </w:r>
          </w:p>
        </w:tc>
      </w:tr>
      <w:tr w:rsidR="001709D5" w:rsidRPr="001709D5" w14:paraId="156913E9" w14:textId="77777777" w:rsidTr="00695E28">
        <w:trPr>
          <w:trHeight w:val="300"/>
        </w:trPr>
        <w:tc>
          <w:tcPr>
            <w:tcW w:w="5459" w:type="dxa"/>
            <w:tcBorders>
              <w:top w:val="nil"/>
              <w:left w:val="nil"/>
              <w:bottom w:val="nil"/>
              <w:right w:val="nil"/>
            </w:tcBorders>
            <w:shd w:val="clear" w:color="000000" w:fill="BFBFBF"/>
            <w:noWrap/>
            <w:vAlign w:val="bottom"/>
            <w:hideMark/>
          </w:tcPr>
          <w:p w14:paraId="1713BD60" w14:textId="77777777" w:rsidR="001709D5" w:rsidRPr="001709D5" w:rsidRDefault="001709D5" w:rsidP="00695E28">
            <w:pPr>
              <w:spacing w:after="0" w:line="240" w:lineRule="auto"/>
              <w:rPr>
                <w:rFonts w:eastAsia="Times New Roman"/>
                <w:b/>
                <w:bCs/>
                <w:color w:val="000000"/>
                <w:sz w:val="18"/>
                <w:szCs w:val="18"/>
                <w:lang w:eastAsia="es-ES"/>
              </w:rPr>
            </w:pPr>
            <w:r w:rsidRPr="001709D5">
              <w:rPr>
                <w:rFonts w:eastAsia="Times New Roman"/>
                <w:b/>
                <w:bCs/>
                <w:color w:val="000000"/>
                <w:sz w:val="18"/>
                <w:szCs w:val="18"/>
                <w:lang w:eastAsia="es-ES"/>
              </w:rPr>
              <w:t>Otros gastos de explotación</w:t>
            </w:r>
          </w:p>
        </w:tc>
        <w:tc>
          <w:tcPr>
            <w:tcW w:w="1559" w:type="dxa"/>
            <w:tcBorders>
              <w:top w:val="nil"/>
              <w:left w:val="nil"/>
              <w:bottom w:val="nil"/>
              <w:right w:val="nil"/>
            </w:tcBorders>
            <w:shd w:val="clear" w:color="000000" w:fill="BFBFBF"/>
            <w:noWrap/>
            <w:vAlign w:val="bottom"/>
            <w:hideMark/>
          </w:tcPr>
          <w:p w14:paraId="6B54B8FB" w14:textId="77777777" w:rsidR="001709D5" w:rsidRPr="001709D5" w:rsidRDefault="001709D5" w:rsidP="00695E28">
            <w:pPr>
              <w:spacing w:after="0" w:line="240" w:lineRule="auto"/>
              <w:rPr>
                <w:rFonts w:eastAsia="Times New Roman"/>
                <w:b/>
                <w:bCs/>
                <w:color w:val="000000"/>
                <w:sz w:val="18"/>
                <w:szCs w:val="18"/>
                <w:lang w:eastAsia="es-ES"/>
              </w:rPr>
            </w:pPr>
            <w:r w:rsidRPr="001709D5">
              <w:rPr>
                <w:rFonts w:eastAsia="Times New Roman"/>
                <w:b/>
                <w:bCs/>
                <w:color w:val="000000"/>
                <w:sz w:val="18"/>
                <w:szCs w:val="18"/>
                <w:lang w:eastAsia="es-ES"/>
              </w:rPr>
              <w:t> </w:t>
            </w:r>
          </w:p>
        </w:tc>
        <w:tc>
          <w:tcPr>
            <w:tcW w:w="2126" w:type="dxa"/>
            <w:tcBorders>
              <w:top w:val="nil"/>
              <w:left w:val="nil"/>
              <w:bottom w:val="nil"/>
              <w:right w:val="nil"/>
            </w:tcBorders>
            <w:shd w:val="clear" w:color="000000" w:fill="BFBFBF"/>
            <w:noWrap/>
            <w:vAlign w:val="bottom"/>
            <w:hideMark/>
          </w:tcPr>
          <w:p w14:paraId="2C495C5D" w14:textId="2CB35FDB" w:rsidR="001709D5" w:rsidRPr="001709D5" w:rsidRDefault="001709D5" w:rsidP="00695E28">
            <w:pPr>
              <w:spacing w:after="0" w:line="240" w:lineRule="auto"/>
              <w:jc w:val="center"/>
              <w:rPr>
                <w:rFonts w:eastAsia="Times New Roman"/>
                <w:b/>
                <w:bCs/>
                <w:color w:val="000000"/>
                <w:sz w:val="18"/>
                <w:szCs w:val="18"/>
                <w:lang w:eastAsia="es-ES"/>
              </w:rPr>
            </w:pPr>
            <w:r w:rsidRPr="001709D5">
              <w:rPr>
                <w:rFonts w:eastAsia="Times New Roman"/>
                <w:b/>
                <w:bCs/>
                <w:color w:val="000000"/>
                <w:sz w:val="18"/>
                <w:szCs w:val="18"/>
                <w:lang w:eastAsia="es-ES"/>
              </w:rPr>
              <w:t>(</w:t>
            </w:r>
            <w:r w:rsidR="00BC1666">
              <w:rPr>
                <w:rFonts w:eastAsia="Times New Roman"/>
                <w:b/>
                <w:bCs/>
                <w:color w:val="000000"/>
                <w:sz w:val="18"/>
                <w:szCs w:val="18"/>
                <w:lang w:eastAsia="es-ES"/>
              </w:rPr>
              <w:t>17.</w:t>
            </w:r>
            <w:r w:rsidR="000670AC">
              <w:rPr>
                <w:rFonts w:eastAsia="Times New Roman"/>
                <w:b/>
                <w:bCs/>
                <w:color w:val="000000"/>
                <w:sz w:val="18"/>
                <w:szCs w:val="18"/>
                <w:lang w:eastAsia="es-ES"/>
              </w:rPr>
              <w:t>4</w:t>
            </w:r>
            <w:r w:rsidR="00BC1666">
              <w:rPr>
                <w:rFonts w:eastAsia="Times New Roman"/>
                <w:b/>
                <w:bCs/>
                <w:color w:val="000000"/>
                <w:sz w:val="18"/>
                <w:szCs w:val="18"/>
                <w:lang w:eastAsia="es-ES"/>
              </w:rPr>
              <w:t>16.747</w:t>
            </w:r>
            <w:r w:rsidRPr="001709D5">
              <w:rPr>
                <w:rFonts w:eastAsia="Times New Roman"/>
                <w:b/>
                <w:bCs/>
                <w:color w:val="000000"/>
                <w:sz w:val="18"/>
                <w:szCs w:val="18"/>
                <w:lang w:eastAsia="es-ES"/>
              </w:rPr>
              <w:t>)</w:t>
            </w:r>
          </w:p>
        </w:tc>
      </w:tr>
      <w:tr w:rsidR="001709D5" w:rsidRPr="001709D5" w14:paraId="4D14C225" w14:textId="77777777" w:rsidTr="00695E28">
        <w:trPr>
          <w:trHeight w:val="300"/>
        </w:trPr>
        <w:tc>
          <w:tcPr>
            <w:tcW w:w="5459" w:type="dxa"/>
            <w:tcBorders>
              <w:top w:val="nil"/>
              <w:left w:val="nil"/>
              <w:bottom w:val="nil"/>
              <w:right w:val="nil"/>
            </w:tcBorders>
            <w:shd w:val="clear" w:color="auto" w:fill="auto"/>
            <w:noWrap/>
            <w:vAlign w:val="bottom"/>
            <w:hideMark/>
          </w:tcPr>
          <w:p w14:paraId="7B2D86FD" w14:textId="77777777" w:rsidR="001709D5" w:rsidRPr="001709D5" w:rsidRDefault="001709D5" w:rsidP="00695E28">
            <w:pPr>
              <w:spacing w:after="0" w:line="240" w:lineRule="auto"/>
              <w:rPr>
                <w:rFonts w:eastAsia="Times New Roman"/>
                <w:b/>
                <w:bCs/>
                <w:color w:val="000000"/>
                <w:sz w:val="18"/>
                <w:szCs w:val="18"/>
                <w:lang w:eastAsia="es-ES"/>
              </w:rPr>
            </w:pPr>
            <w:r w:rsidRPr="001709D5">
              <w:rPr>
                <w:rFonts w:eastAsia="Times New Roman"/>
                <w:b/>
                <w:bCs/>
                <w:color w:val="000000"/>
                <w:sz w:val="18"/>
                <w:szCs w:val="18"/>
                <w:lang w:eastAsia="es-ES"/>
              </w:rPr>
              <w:t xml:space="preserve">    Servicios exteriores</w:t>
            </w:r>
          </w:p>
        </w:tc>
        <w:tc>
          <w:tcPr>
            <w:tcW w:w="1559" w:type="dxa"/>
            <w:tcBorders>
              <w:top w:val="nil"/>
              <w:left w:val="nil"/>
              <w:bottom w:val="nil"/>
              <w:right w:val="nil"/>
            </w:tcBorders>
            <w:shd w:val="clear" w:color="auto" w:fill="auto"/>
            <w:noWrap/>
            <w:vAlign w:val="center"/>
            <w:hideMark/>
          </w:tcPr>
          <w:p w14:paraId="1CA0A4B4" w14:textId="77777777" w:rsidR="001709D5" w:rsidRPr="001709D5" w:rsidRDefault="001709D5" w:rsidP="00695E28">
            <w:pPr>
              <w:spacing w:after="0" w:line="240" w:lineRule="auto"/>
              <w:rPr>
                <w:rFonts w:eastAsia="Times New Roman"/>
                <w:b/>
                <w:bCs/>
                <w:color w:val="000000"/>
                <w:sz w:val="18"/>
                <w:szCs w:val="18"/>
                <w:lang w:eastAsia="es-ES"/>
              </w:rPr>
            </w:pPr>
          </w:p>
        </w:tc>
        <w:tc>
          <w:tcPr>
            <w:tcW w:w="2126" w:type="dxa"/>
            <w:tcBorders>
              <w:top w:val="nil"/>
              <w:left w:val="nil"/>
              <w:bottom w:val="nil"/>
              <w:right w:val="nil"/>
            </w:tcBorders>
            <w:shd w:val="clear" w:color="auto" w:fill="auto"/>
            <w:noWrap/>
            <w:vAlign w:val="bottom"/>
            <w:hideMark/>
          </w:tcPr>
          <w:p w14:paraId="59DB4C8E" w14:textId="28055CA0"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w:t>
            </w:r>
            <w:r w:rsidR="00BC1666">
              <w:rPr>
                <w:rFonts w:eastAsia="Times New Roman"/>
                <w:b/>
                <w:bCs/>
                <w:sz w:val="18"/>
                <w:szCs w:val="18"/>
                <w:lang w:eastAsia="es-ES"/>
              </w:rPr>
              <w:t>17.</w:t>
            </w:r>
            <w:r w:rsidR="000670AC">
              <w:rPr>
                <w:rFonts w:eastAsia="Times New Roman"/>
                <w:b/>
                <w:bCs/>
                <w:sz w:val="18"/>
                <w:szCs w:val="18"/>
                <w:lang w:eastAsia="es-ES"/>
              </w:rPr>
              <w:t>4</w:t>
            </w:r>
            <w:r w:rsidR="00BC1666">
              <w:rPr>
                <w:rFonts w:eastAsia="Times New Roman"/>
                <w:b/>
                <w:bCs/>
                <w:sz w:val="18"/>
                <w:szCs w:val="18"/>
                <w:lang w:eastAsia="es-ES"/>
              </w:rPr>
              <w:t>15.070</w:t>
            </w:r>
          </w:p>
        </w:tc>
      </w:tr>
      <w:tr w:rsidR="001709D5" w:rsidRPr="001709D5" w14:paraId="242ECFEF" w14:textId="77777777" w:rsidTr="00695E28">
        <w:trPr>
          <w:trHeight w:val="300"/>
        </w:trPr>
        <w:tc>
          <w:tcPr>
            <w:tcW w:w="5459" w:type="dxa"/>
            <w:tcBorders>
              <w:top w:val="nil"/>
              <w:left w:val="nil"/>
              <w:bottom w:val="nil"/>
              <w:right w:val="nil"/>
            </w:tcBorders>
            <w:shd w:val="clear" w:color="auto" w:fill="auto"/>
            <w:noWrap/>
            <w:vAlign w:val="bottom"/>
            <w:hideMark/>
          </w:tcPr>
          <w:p w14:paraId="3068E820"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Alquileres y cánones</w:t>
            </w:r>
          </w:p>
        </w:tc>
        <w:tc>
          <w:tcPr>
            <w:tcW w:w="1559" w:type="dxa"/>
            <w:tcBorders>
              <w:top w:val="nil"/>
              <w:left w:val="nil"/>
              <w:bottom w:val="nil"/>
              <w:right w:val="nil"/>
            </w:tcBorders>
            <w:shd w:val="clear" w:color="auto" w:fill="auto"/>
            <w:noWrap/>
            <w:vAlign w:val="center"/>
            <w:hideMark/>
          </w:tcPr>
          <w:p w14:paraId="439DCF91"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621</w:t>
            </w:r>
          </w:p>
        </w:tc>
        <w:tc>
          <w:tcPr>
            <w:tcW w:w="2126" w:type="dxa"/>
            <w:tcBorders>
              <w:top w:val="nil"/>
              <w:left w:val="nil"/>
              <w:bottom w:val="nil"/>
              <w:right w:val="nil"/>
            </w:tcBorders>
            <w:shd w:val="clear" w:color="auto" w:fill="auto"/>
            <w:noWrap/>
            <w:vAlign w:val="bottom"/>
            <w:hideMark/>
          </w:tcPr>
          <w:p w14:paraId="1830D382" w14:textId="5F799C42" w:rsidR="001709D5" w:rsidRPr="001709D5" w:rsidRDefault="001709D5" w:rsidP="00695E28">
            <w:pPr>
              <w:spacing w:after="0" w:line="240" w:lineRule="auto"/>
              <w:jc w:val="center"/>
              <w:rPr>
                <w:rFonts w:eastAsia="Times New Roman"/>
                <w:sz w:val="18"/>
                <w:szCs w:val="18"/>
                <w:lang w:eastAsia="es-ES"/>
              </w:rPr>
            </w:pPr>
            <w:r w:rsidRPr="001709D5">
              <w:rPr>
                <w:rFonts w:eastAsia="Times New Roman"/>
                <w:sz w:val="18"/>
                <w:szCs w:val="18"/>
                <w:lang w:eastAsia="es-ES"/>
              </w:rPr>
              <w:t>(</w:t>
            </w:r>
            <w:r w:rsidR="00BC1666">
              <w:rPr>
                <w:rFonts w:eastAsia="Times New Roman"/>
                <w:sz w:val="18"/>
                <w:szCs w:val="18"/>
                <w:lang w:eastAsia="es-ES"/>
              </w:rPr>
              <w:t>287.816</w:t>
            </w:r>
            <w:r w:rsidRPr="001709D5">
              <w:rPr>
                <w:rFonts w:eastAsia="Times New Roman"/>
                <w:sz w:val="18"/>
                <w:szCs w:val="18"/>
                <w:lang w:eastAsia="es-ES"/>
              </w:rPr>
              <w:t>)</w:t>
            </w:r>
          </w:p>
        </w:tc>
      </w:tr>
      <w:tr w:rsidR="001709D5" w:rsidRPr="001709D5" w14:paraId="74AB6B3C" w14:textId="77777777" w:rsidTr="00695E28">
        <w:trPr>
          <w:trHeight w:val="300"/>
        </w:trPr>
        <w:tc>
          <w:tcPr>
            <w:tcW w:w="5459" w:type="dxa"/>
            <w:tcBorders>
              <w:top w:val="nil"/>
              <w:left w:val="nil"/>
              <w:bottom w:val="nil"/>
              <w:right w:val="nil"/>
            </w:tcBorders>
            <w:shd w:val="clear" w:color="auto" w:fill="auto"/>
            <w:noWrap/>
            <w:vAlign w:val="bottom"/>
            <w:hideMark/>
          </w:tcPr>
          <w:p w14:paraId="32EBD606"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Reparaciones y conservación</w:t>
            </w:r>
          </w:p>
        </w:tc>
        <w:tc>
          <w:tcPr>
            <w:tcW w:w="1559" w:type="dxa"/>
            <w:tcBorders>
              <w:top w:val="nil"/>
              <w:left w:val="nil"/>
              <w:bottom w:val="nil"/>
              <w:right w:val="nil"/>
            </w:tcBorders>
            <w:shd w:val="clear" w:color="auto" w:fill="auto"/>
            <w:noWrap/>
            <w:vAlign w:val="center"/>
            <w:hideMark/>
          </w:tcPr>
          <w:p w14:paraId="1C7E61A0"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622</w:t>
            </w:r>
          </w:p>
        </w:tc>
        <w:tc>
          <w:tcPr>
            <w:tcW w:w="2126" w:type="dxa"/>
            <w:tcBorders>
              <w:top w:val="nil"/>
              <w:left w:val="nil"/>
              <w:bottom w:val="nil"/>
              <w:right w:val="nil"/>
            </w:tcBorders>
            <w:shd w:val="clear" w:color="auto" w:fill="auto"/>
            <w:noWrap/>
            <w:vAlign w:val="bottom"/>
            <w:hideMark/>
          </w:tcPr>
          <w:p w14:paraId="3773E881" w14:textId="1A3BBEDF" w:rsidR="001709D5" w:rsidRPr="001709D5" w:rsidRDefault="001709D5" w:rsidP="00695E28">
            <w:pPr>
              <w:spacing w:after="0" w:line="240" w:lineRule="auto"/>
              <w:jc w:val="center"/>
              <w:rPr>
                <w:rFonts w:eastAsia="Times New Roman"/>
                <w:sz w:val="18"/>
                <w:szCs w:val="18"/>
                <w:lang w:eastAsia="es-ES"/>
              </w:rPr>
            </w:pPr>
            <w:r w:rsidRPr="001709D5">
              <w:rPr>
                <w:rFonts w:eastAsia="Times New Roman"/>
                <w:sz w:val="18"/>
                <w:szCs w:val="18"/>
                <w:lang w:eastAsia="es-ES"/>
              </w:rPr>
              <w:t>(</w:t>
            </w:r>
            <w:r w:rsidR="00BC1666">
              <w:rPr>
                <w:rFonts w:eastAsia="Times New Roman"/>
                <w:sz w:val="18"/>
                <w:szCs w:val="18"/>
                <w:lang w:eastAsia="es-ES"/>
              </w:rPr>
              <w:t>58.201)</w:t>
            </w:r>
          </w:p>
        </w:tc>
      </w:tr>
      <w:tr w:rsidR="001709D5" w:rsidRPr="001709D5" w14:paraId="65BB35F4" w14:textId="77777777" w:rsidTr="00695E28">
        <w:trPr>
          <w:trHeight w:val="300"/>
        </w:trPr>
        <w:tc>
          <w:tcPr>
            <w:tcW w:w="5459" w:type="dxa"/>
            <w:tcBorders>
              <w:top w:val="nil"/>
              <w:left w:val="nil"/>
              <w:bottom w:val="nil"/>
              <w:right w:val="nil"/>
            </w:tcBorders>
            <w:shd w:val="clear" w:color="auto" w:fill="auto"/>
            <w:noWrap/>
            <w:vAlign w:val="bottom"/>
            <w:hideMark/>
          </w:tcPr>
          <w:p w14:paraId="6F3DDCD9"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Servicios profesionales independientes</w:t>
            </w:r>
          </w:p>
        </w:tc>
        <w:tc>
          <w:tcPr>
            <w:tcW w:w="1559" w:type="dxa"/>
            <w:tcBorders>
              <w:top w:val="nil"/>
              <w:left w:val="nil"/>
              <w:bottom w:val="nil"/>
              <w:right w:val="nil"/>
            </w:tcBorders>
            <w:shd w:val="clear" w:color="auto" w:fill="auto"/>
            <w:noWrap/>
            <w:vAlign w:val="center"/>
            <w:hideMark/>
          </w:tcPr>
          <w:p w14:paraId="334E5B02"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623</w:t>
            </w:r>
          </w:p>
        </w:tc>
        <w:tc>
          <w:tcPr>
            <w:tcW w:w="2126" w:type="dxa"/>
            <w:tcBorders>
              <w:top w:val="nil"/>
              <w:left w:val="nil"/>
              <w:bottom w:val="nil"/>
              <w:right w:val="nil"/>
            </w:tcBorders>
            <w:shd w:val="clear" w:color="auto" w:fill="auto"/>
            <w:noWrap/>
            <w:vAlign w:val="bottom"/>
            <w:hideMark/>
          </w:tcPr>
          <w:p w14:paraId="60061E09" w14:textId="6D692643" w:rsidR="001709D5" w:rsidRPr="001709D5" w:rsidRDefault="001709D5" w:rsidP="00695E28">
            <w:pPr>
              <w:spacing w:after="0" w:line="240" w:lineRule="auto"/>
              <w:jc w:val="center"/>
              <w:rPr>
                <w:rFonts w:eastAsia="Times New Roman"/>
                <w:sz w:val="18"/>
                <w:szCs w:val="18"/>
                <w:lang w:eastAsia="es-ES"/>
              </w:rPr>
            </w:pPr>
            <w:r w:rsidRPr="001709D5">
              <w:rPr>
                <w:rFonts w:eastAsia="Times New Roman"/>
                <w:sz w:val="18"/>
                <w:szCs w:val="18"/>
                <w:lang w:eastAsia="es-ES"/>
              </w:rPr>
              <w:t>(</w:t>
            </w:r>
            <w:r w:rsidR="00BC1666">
              <w:rPr>
                <w:rFonts w:eastAsia="Times New Roman"/>
                <w:sz w:val="18"/>
                <w:szCs w:val="18"/>
                <w:lang w:eastAsia="es-ES"/>
              </w:rPr>
              <w:t>14.2</w:t>
            </w:r>
            <w:r w:rsidR="000670AC">
              <w:rPr>
                <w:rFonts w:eastAsia="Times New Roman"/>
                <w:sz w:val="18"/>
                <w:szCs w:val="18"/>
                <w:lang w:eastAsia="es-ES"/>
              </w:rPr>
              <w:t>44</w:t>
            </w:r>
            <w:r w:rsidR="00BC1666">
              <w:rPr>
                <w:rFonts w:eastAsia="Times New Roman"/>
                <w:sz w:val="18"/>
                <w:szCs w:val="18"/>
                <w:lang w:eastAsia="es-ES"/>
              </w:rPr>
              <w:t>.929</w:t>
            </w:r>
            <w:r w:rsidRPr="001709D5">
              <w:rPr>
                <w:rFonts w:eastAsia="Times New Roman"/>
                <w:sz w:val="18"/>
                <w:szCs w:val="18"/>
                <w:lang w:eastAsia="es-ES"/>
              </w:rPr>
              <w:t>)</w:t>
            </w:r>
          </w:p>
        </w:tc>
      </w:tr>
      <w:tr w:rsidR="001709D5" w:rsidRPr="001709D5" w14:paraId="3E91F7B2" w14:textId="77777777" w:rsidTr="00695E28">
        <w:trPr>
          <w:trHeight w:val="300"/>
        </w:trPr>
        <w:tc>
          <w:tcPr>
            <w:tcW w:w="5459" w:type="dxa"/>
            <w:tcBorders>
              <w:top w:val="nil"/>
              <w:left w:val="nil"/>
              <w:bottom w:val="nil"/>
              <w:right w:val="nil"/>
            </w:tcBorders>
            <w:shd w:val="clear" w:color="auto" w:fill="auto"/>
            <w:noWrap/>
            <w:vAlign w:val="bottom"/>
            <w:hideMark/>
          </w:tcPr>
          <w:p w14:paraId="5A11C70D"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Transportes</w:t>
            </w:r>
          </w:p>
        </w:tc>
        <w:tc>
          <w:tcPr>
            <w:tcW w:w="1559" w:type="dxa"/>
            <w:tcBorders>
              <w:top w:val="nil"/>
              <w:left w:val="nil"/>
              <w:bottom w:val="nil"/>
              <w:right w:val="nil"/>
            </w:tcBorders>
            <w:shd w:val="clear" w:color="auto" w:fill="auto"/>
            <w:noWrap/>
            <w:vAlign w:val="center"/>
            <w:hideMark/>
          </w:tcPr>
          <w:p w14:paraId="770E2FC3"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624</w:t>
            </w:r>
          </w:p>
        </w:tc>
        <w:tc>
          <w:tcPr>
            <w:tcW w:w="2126" w:type="dxa"/>
            <w:tcBorders>
              <w:top w:val="nil"/>
              <w:left w:val="nil"/>
              <w:bottom w:val="nil"/>
              <w:right w:val="nil"/>
            </w:tcBorders>
            <w:shd w:val="clear" w:color="auto" w:fill="auto"/>
            <w:noWrap/>
            <w:vAlign w:val="bottom"/>
            <w:hideMark/>
          </w:tcPr>
          <w:p w14:paraId="764B3736" w14:textId="5E15BF9C" w:rsidR="001709D5" w:rsidRPr="001709D5" w:rsidRDefault="001709D5" w:rsidP="00695E28">
            <w:pPr>
              <w:spacing w:after="0" w:line="240" w:lineRule="auto"/>
              <w:jc w:val="center"/>
              <w:rPr>
                <w:rFonts w:eastAsia="Times New Roman"/>
                <w:sz w:val="18"/>
                <w:szCs w:val="18"/>
                <w:lang w:eastAsia="es-ES"/>
              </w:rPr>
            </w:pPr>
            <w:r w:rsidRPr="001709D5">
              <w:rPr>
                <w:rFonts w:eastAsia="Times New Roman"/>
                <w:sz w:val="18"/>
                <w:szCs w:val="18"/>
                <w:lang w:eastAsia="es-ES"/>
              </w:rPr>
              <w:t>(</w:t>
            </w:r>
            <w:r w:rsidR="00BC1666">
              <w:rPr>
                <w:rFonts w:eastAsia="Times New Roman"/>
                <w:sz w:val="18"/>
                <w:szCs w:val="18"/>
                <w:lang w:eastAsia="es-ES"/>
              </w:rPr>
              <w:t>5.690</w:t>
            </w:r>
            <w:r w:rsidRPr="001709D5">
              <w:rPr>
                <w:rFonts w:eastAsia="Times New Roman"/>
                <w:sz w:val="18"/>
                <w:szCs w:val="18"/>
                <w:lang w:eastAsia="es-ES"/>
              </w:rPr>
              <w:t>)</w:t>
            </w:r>
          </w:p>
        </w:tc>
      </w:tr>
      <w:tr w:rsidR="001709D5" w:rsidRPr="001709D5" w14:paraId="1243FA45" w14:textId="77777777" w:rsidTr="00695E28">
        <w:trPr>
          <w:trHeight w:val="300"/>
        </w:trPr>
        <w:tc>
          <w:tcPr>
            <w:tcW w:w="5459" w:type="dxa"/>
            <w:tcBorders>
              <w:top w:val="nil"/>
              <w:left w:val="nil"/>
              <w:bottom w:val="nil"/>
              <w:right w:val="nil"/>
            </w:tcBorders>
            <w:shd w:val="clear" w:color="auto" w:fill="auto"/>
            <w:noWrap/>
            <w:vAlign w:val="bottom"/>
            <w:hideMark/>
          </w:tcPr>
          <w:p w14:paraId="00D842DB"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Primas de seguros</w:t>
            </w:r>
          </w:p>
        </w:tc>
        <w:tc>
          <w:tcPr>
            <w:tcW w:w="1559" w:type="dxa"/>
            <w:tcBorders>
              <w:top w:val="nil"/>
              <w:left w:val="nil"/>
              <w:bottom w:val="nil"/>
              <w:right w:val="nil"/>
            </w:tcBorders>
            <w:shd w:val="clear" w:color="auto" w:fill="auto"/>
            <w:noWrap/>
            <w:vAlign w:val="center"/>
            <w:hideMark/>
          </w:tcPr>
          <w:p w14:paraId="03898136"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625</w:t>
            </w:r>
          </w:p>
        </w:tc>
        <w:tc>
          <w:tcPr>
            <w:tcW w:w="2126" w:type="dxa"/>
            <w:tcBorders>
              <w:top w:val="nil"/>
              <w:left w:val="nil"/>
              <w:bottom w:val="nil"/>
              <w:right w:val="nil"/>
            </w:tcBorders>
            <w:shd w:val="clear" w:color="auto" w:fill="auto"/>
            <w:noWrap/>
            <w:vAlign w:val="bottom"/>
            <w:hideMark/>
          </w:tcPr>
          <w:p w14:paraId="4D2EAA31" w14:textId="6C4834AF" w:rsidR="001709D5" w:rsidRPr="001709D5" w:rsidRDefault="001709D5" w:rsidP="00695E28">
            <w:pPr>
              <w:spacing w:after="0" w:line="240" w:lineRule="auto"/>
              <w:jc w:val="center"/>
              <w:rPr>
                <w:rFonts w:eastAsia="Times New Roman"/>
                <w:sz w:val="18"/>
                <w:szCs w:val="18"/>
                <w:lang w:eastAsia="es-ES"/>
              </w:rPr>
            </w:pPr>
            <w:r w:rsidRPr="001709D5">
              <w:rPr>
                <w:rFonts w:eastAsia="Times New Roman"/>
                <w:sz w:val="18"/>
                <w:szCs w:val="18"/>
                <w:lang w:eastAsia="es-ES"/>
              </w:rPr>
              <w:t>(</w:t>
            </w:r>
            <w:r w:rsidR="00BC1666">
              <w:rPr>
                <w:rFonts w:eastAsia="Times New Roman"/>
                <w:sz w:val="18"/>
                <w:szCs w:val="18"/>
                <w:lang w:eastAsia="es-ES"/>
              </w:rPr>
              <w:t>2.505</w:t>
            </w:r>
            <w:r w:rsidRPr="001709D5">
              <w:rPr>
                <w:rFonts w:eastAsia="Times New Roman"/>
                <w:sz w:val="18"/>
                <w:szCs w:val="18"/>
                <w:lang w:eastAsia="es-ES"/>
              </w:rPr>
              <w:t>)</w:t>
            </w:r>
          </w:p>
        </w:tc>
      </w:tr>
      <w:tr w:rsidR="001709D5" w:rsidRPr="001709D5" w14:paraId="2A8D736D" w14:textId="77777777" w:rsidTr="00695E28">
        <w:trPr>
          <w:trHeight w:val="300"/>
        </w:trPr>
        <w:tc>
          <w:tcPr>
            <w:tcW w:w="5459" w:type="dxa"/>
            <w:tcBorders>
              <w:top w:val="nil"/>
              <w:left w:val="nil"/>
              <w:bottom w:val="nil"/>
              <w:right w:val="nil"/>
            </w:tcBorders>
            <w:shd w:val="clear" w:color="auto" w:fill="auto"/>
            <w:noWrap/>
            <w:vAlign w:val="bottom"/>
            <w:hideMark/>
          </w:tcPr>
          <w:p w14:paraId="54E4E2D6"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Servicios bancarios</w:t>
            </w:r>
          </w:p>
        </w:tc>
        <w:tc>
          <w:tcPr>
            <w:tcW w:w="1559" w:type="dxa"/>
            <w:tcBorders>
              <w:top w:val="nil"/>
              <w:left w:val="nil"/>
              <w:bottom w:val="nil"/>
              <w:right w:val="nil"/>
            </w:tcBorders>
            <w:shd w:val="clear" w:color="auto" w:fill="auto"/>
            <w:noWrap/>
            <w:vAlign w:val="center"/>
            <w:hideMark/>
          </w:tcPr>
          <w:p w14:paraId="6BDF074D"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626</w:t>
            </w:r>
          </w:p>
        </w:tc>
        <w:tc>
          <w:tcPr>
            <w:tcW w:w="2126" w:type="dxa"/>
            <w:tcBorders>
              <w:top w:val="nil"/>
              <w:left w:val="nil"/>
              <w:bottom w:val="nil"/>
              <w:right w:val="nil"/>
            </w:tcBorders>
            <w:shd w:val="clear" w:color="auto" w:fill="auto"/>
            <w:noWrap/>
            <w:vAlign w:val="bottom"/>
            <w:hideMark/>
          </w:tcPr>
          <w:p w14:paraId="662813D3" w14:textId="78546838" w:rsidR="001709D5" w:rsidRPr="001709D5" w:rsidRDefault="001709D5" w:rsidP="00695E28">
            <w:pPr>
              <w:spacing w:after="0" w:line="240" w:lineRule="auto"/>
              <w:jc w:val="center"/>
              <w:rPr>
                <w:rFonts w:eastAsia="Times New Roman"/>
                <w:sz w:val="18"/>
                <w:szCs w:val="18"/>
                <w:lang w:eastAsia="es-ES"/>
              </w:rPr>
            </w:pPr>
            <w:r w:rsidRPr="001709D5">
              <w:rPr>
                <w:rFonts w:eastAsia="Times New Roman"/>
                <w:sz w:val="18"/>
                <w:szCs w:val="18"/>
                <w:lang w:eastAsia="es-ES"/>
              </w:rPr>
              <w:t>(</w:t>
            </w:r>
            <w:r w:rsidR="00AA2DAB">
              <w:rPr>
                <w:rFonts w:eastAsia="Times New Roman"/>
                <w:sz w:val="18"/>
                <w:szCs w:val="18"/>
                <w:lang w:eastAsia="es-ES"/>
              </w:rPr>
              <w:t>8.004</w:t>
            </w:r>
            <w:r w:rsidRPr="001709D5">
              <w:rPr>
                <w:rFonts w:eastAsia="Times New Roman"/>
                <w:sz w:val="18"/>
                <w:szCs w:val="18"/>
                <w:lang w:eastAsia="es-ES"/>
              </w:rPr>
              <w:t>)</w:t>
            </w:r>
          </w:p>
        </w:tc>
      </w:tr>
      <w:tr w:rsidR="001709D5" w:rsidRPr="001709D5" w14:paraId="210ABEB8" w14:textId="77777777" w:rsidTr="00695E28">
        <w:trPr>
          <w:trHeight w:val="300"/>
        </w:trPr>
        <w:tc>
          <w:tcPr>
            <w:tcW w:w="5459" w:type="dxa"/>
            <w:tcBorders>
              <w:top w:val="nil"/>
              <w:left w:val="nil"/>
              <w:bottom w:val="nil"/>
              <w:right w:val="nil"/>
            </w:tcBorders>
            <w:shd w:val="clear" w:color="auto" w:fill="auto"/>
            <w:noWrap/>
            <w:vAlign w:val="bottom"/>
            <w:hideMark/>
          </w:tcPr>
          <w:p w14:paraId="0F91D40C"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Publicidad, propaganda y relaciones públicas</w:t>
            </w:r>
          </w:p>
        </w:tc>
        <w:tc>
          <w:tcPr>
            <w:tcW w:w="1559" w:type="dxa"/>
            <w:tcBorders>
              <w:top w:val="nil"/>
              <w:left w:val="nil"/>
              <w:bottom w:val="nil"/>
              <w:right w:val="nil"/>
            </w:tcBorders>
            <w:shd w:val="clear" w:color="auto" w:fill="auto"/>
            <w:noWrap/>
            <w:vAlign w:val="center"/>
            <w:hideMark/>
          </w:tcPr>
          <w:p w14:paraId="688093B8"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627</w:t>
            </w:r>
          </w:p>
        </w:tc>
        <w:tc>
          <w:tcPr>
            <w:tcW w:w="2126" w:type="dxa"/>
            <w:tcBorders>
              <w:top w:val="nil"/>
              <w:left w:val="nil"/>
              <w:bottom w:val="nil"/>
              <w:right w:val="nil"/>
            </w:tcBorders>
            <w:shd w:val="clear" w:color="auto" w:fill="auto"/>
            <w:noWrap/>
            <w:vAlign w:val="bottom"/>
            <w:hideMark/>
          </w:tcPr>
          <w:p w14:paraId="27AFDF00" w14:textId="7AC59566" w:rsidR="001709D5" w:rsidRPr="001709D5" w:rsidRDefault="001709D5" w:rsidP="00695E28">
            <w:pPr>
              <w:spacing w:after="0" w:line="240" w:lineRule="auto"/>
              <w:jc w:val="center"/>
              <w:rPr>
                <w:rFonts w:eastAsia="Times New Roman"/>
                <w:sz w:val="18"/>
                <w:szCs w:val="18"/>
                <w:lang w:eastAsia="es-ES"/>
              </w:rPr>
            </w:pPr>
            <w:r w:rsidRPr="001709D5">
              <w:rPr>
                <w:rFonts w:eastAsia="Times New Roman"/>
                <w:sz w:val="18"/>
                <w:szCs w:val="18"/>
                <w:lang w:eastAsia="es-ES"/>
              </w:rPr>
              <w:t>(</w:t>
            </w:r>
            <w:r w:rsidR="00AA2DAB">
              <w:rPr>
                <w:rFonts w:eastAsia="Times New Roman"/>
                <w:sz w:val="18"/>
                <w:szCs w:val="18"/>
                <w:lang w:eastAsia="es-ES"/>
              </w:rPr>
              <w:t>1.</w:t>
            </w:r>
            <w:r w:rsidR="00D94807">
              <w:rPr>
                <w:rFonts w:eastAsia="Times New Roman"/>
                <w:sz w:val="18"/>
                <w:szCs w:val="18"/>
                <w:lang w:eastAsia="es-ES"/>
              </w:rPr>
              <w:t>666</w:t>
            </w:r>
            <w:r w:rsidR="00AA2DAB">
              <w:rPr>
                <w:rFonts w:eastAsia="Times New Roman"/>
                <w:sz w:val="18"/>
                <w:szCs w:val="18"/>
                <w:lang w:eastAsia="es-ES"/>
              </w:rPr>
              <w:t>.258</w:t>
            </w:r>
            <w:r w:rsidRPr="001709D5">
              <w:rPr>
                <w:rFonts w:eastAsia="Times New Roman"/>
                <w:sz w:val="18"/>
                <w:szCs w:val="18"/>
                <w:lang w:eastAsia="es-ES"/>
              </w:rPr>
              <w:t>)</w:t>
            </w:r>
          </w:p>
        </w:tc>
      </w:tr>
      <w:tr w:rsidR="001709D5" w:rsidRPr="001709D5" w14:paraId="3EDAE8E4" w14:textId="77777777" w:rsidTr="00695E28">
        <w:trPr>
          <w:trHeight w:val="300"/>
        </w:trPr>
        <w:tc>
          <w:tcPr>
            <w:tcW w:w="5459" w:type="dxa"/>
            <w:tcBorders>
              <w:top w:val="nil"/>
              <w:left w:val="nil"/>
              <w:bottom w:val="nil"/>
              <w:right w:val="nil"/>
            </w:tcBorders>
            <w:shd w:val="clear" w:color="auto" w:fill="auto"/>
            <w:noWrap/>
            <w:vAlign w:val="bottom"/>
            <w:hideMark/>
          </w:tcPr>
          <w:p w14:paraId="344369C4"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Suministros</w:t>
            </w:r>
          </w:p>
        </w:tc>
        <w:tc>
          <w:tcPr>
            <w:tcW w:w="1559" w:type="dxa"/>
            <w:tcBorders>
              <w:top w:val="nil"/>
              <w:left w:val="nil"/>
              <w:bottom w:val="nil"/>
              <w:right w:val="nil"/>
            </w:tcBorders>
            <w:shd w:val="clear" w:color="auto" w:fill="auto"/>
            <w:noWrap/>
            <w:vAlign w:val="center"/>
            <w:hideMark/>
          </w:tcPr>
          <w:p w14:paraId="193D64A3"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628</w:t>
            </w:r>
          </w:p>
        </w:tc>
        <w:tc>
          <w:tcPr>
            <w:tcW w:w="2126" w:type="dxa"/>
            <w:tcBorders>
              <w:top w:val="nil"/>
              <w:left w:val="nil"/>
              <w:bottom w:val="nil"/>
              <w:right w:val="nil"/>
            </w:tcBorders>
            <w:shd w:val="clear" w:color="auto" w:fill="auto"/>
            <w:noWrap/>
            <w:vAlign w:val="bottom"/>
            <w:hideMark/>
          </w:tcPr>
          <w:p w14:paraId="634A9249" w14:textId="775FA937" w:rsidR="001709D5" w:rsidRPr="001709D5" w:rsidRDefault="001709D5" w:rsidP="00695E28">
            <w:pPr>
              <w:spacing w:after="0" w:line="240" w:lineRule="auto"/>
              <w:jc w:val="center"/>
              <w:rPr>
                <w:rFonts w:eastAsia="Times New Roman"/>
                <w:sz w:val="18"/>
                <w:szCs w:val="18"/>
                <w:lang w:eastAsia="es-ES"/>
              </w:rPr>
            </w:pPr>
            <w:r w:rsidRPr="001709D5">
              <w:rPr>
                <w:rFonts w:eastAsia="Times New Roman"/>
                <w:sz w:val="18"/>
                <w:szCs w:val="18"/>
                <w:lang w:eastAsia="es-ES"/>
              </w:rPr>
              <w:t>(</w:t>
            </w:r>
            <w:r w:rsidR="00AA2DAB">
              <w:rPr>
                <w:rFonts w:eastAsia="Times New Roman"/>
                <w:sz w:val="18"/>
                <w:szCs w:val="18"/>
                <w:lang w:eastAsia="es-ES"/>
              </w:rPr>
              <w:t>64.054</w:t>
            </w:r>
            <w:r w:rsidRPr="001709D5">
              <w:rPr>
                <w:rFonts w:eastAsia="Times New Roman"/>
                <w:sz w:val="18"/>
                <w:szCs w:val="18"/>
                <w:lang w:eastAsia="es-ES"/>
              </w:rPr>
              <w:t>)</w:t>
            </w:r>
          </w:p>
        </w:tc>
      </w:tr>
      <w:tr w:rsidR="001709D5" w:rsidRPr="001709D5" w14:paraId="6E1614C8" w14:textId="77777777" w:rsidTr="00695E28">
        <w:trPr>
          <w:trHeight w:val="300"/>
        </w:trPr>
        <w:tc>
          <w:tcPr>
            <w:tcW w:w="5459" w:type="dxa"/>
            <w:tcBorders>
              <w:top w:val="nil"/>
              <w:left w:val="nil"/>
              <w:bottom w:val="nil"/>
              <w:right w:val="nil"/>
            </w:tcBorders>
            <w:shd w:val="clear" w:color="auto" w:fill="auto"/>
            <w:noWrap/>
            <w:vAlign w:val="bottom"/>
            <w:hideMark/>
          </w:tcPr>
          <w:p w14:paraId="6F253BA8"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Otros servicios</w:t>
            </w:r>
          </w:p>
        </w:tc>
        <w:tc>
          <w:tcPr>
            <w:tcW w:w="1559" w:type="dxa"/>
            <w:tcBorders>
              <w:top w:val="nil"/>
              <w:left w:val="nil"/>
              <w:bottom w:val="nil"/>
              <w:right w:val="nil"/>
            </w:tcBorders>
            <w:shd w:val="clear" w:color="auto" w:fill="auto"/>
            <w:noWrap/>
            <w:vAlign w:val="center"/>
            <w:hideMark/>
          </w:tcPr>
          <w:p w14:paraId="026E8B27"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629</w:t>
            </w:r>
          </w:p>
        </w:tc>
        <w:tc>
          <w:tcPr>
            <w:tcW w:w="2126" w:type="dxa"/>
            <w:tcBorders>
              <w:top w:val="nil"/>
              <w:left w:val="nil"/>
              <w:bottom w:val="nil"/>
              <w:right w:val="nil"/>
            </w:tcBorders>
            <w:shd w:val="clear" w:color="auto" w:fill="auto"/>
            <w:noWrap/>
            <w:vAlign w:val="bottom"/>
            <w:hideMark/>
          </w:tcPr>
          <w:p w14:paraId="65DD1907" w14:textId="1358C0A6" w:rsidR="001709D5" w:rsidRPr="001709D5" w:rsidRDefault="001709D5" w:rsidP="00695E28">
            <w:pPr>
              <w:spacing w:after="0" w:line="240" w:lineRule="auto"/>
              <w:jc w:val="center"/>
              <w:rPr>
                <w:rFonts w:eastAsia="Times New Roman"/>
                <w:sz w:val="18"/>
                <w:szCs w:val="18"/>
                <w:lang w:eastAsia="es-ES"/>
              </w:rPr>
            </w:pPr>
            <w:r w:rsidRPr="001709D5">
              <w:rPr>
                <w:rFonts w:eastAsia="Times New Roman"/>
                <w:sz w:val="18"/>
                <w:szCs w:val="18"/>
                <w:lang w:eastAsia="es-ES"/>
              </w:rPr>
              <w:t>(</w:t>
            </w:r>
            <w:r w:rsidR="00AA2DAB">
              <w:rPr>
                <w:rFonts w:eastAsia="Times New Roman"/>
                <w:sz w:val="18"/>
                <w:szCs w:val="18"/>
                <w:lang w:eastAsia="es-ES"/>
              </w:rPr>
              <w:t>1.077.613</w:t>
            </w:r>
            <w:r w:rsidRPr="001709D5">
              <w:rPr>
                <w:rFonts w:eastAsia="Times New Roman"/>
                <w:sz w:val="18"/>
                <w:szCs w:val="18"/>
                <w:lang w:eastAsia="es-ES"/>
              </w:rPr>
              <w:t>)</w:t>
            </w:r>
          </w:p>
        </w:tc>
      </w:tr>
      <w:tr w:rsidR="001709D5" w:rsidRPr="001709D5" w14:paraId="612C580C" w14:textId="77777777" w:rsidTr="00695E28">
        <w:trPr>
          <w:trHeight w:val="300"/>
        </w:trPr>
        <w:tc>
          <w:tcPr>
            <w:tcW w:w="5459" w:type="dxa"/>
            <w:tcBorders>
              <w:top w:val="nil"/>
              <w:left w:val="nil"/>
              <w:bottom w:val="nil"/>
              <w:right w:val="nil"/>
            </w:tcBorders>
            <w:shd w:val="clear" w:color="auto" w:fill="auto"/>
            <w:noWrap/>
            <w:vAlign w:val="bottom"/>
            <w:hideMark/>
          </w:tcPr>
          <w:p w14:paraId="60283B6F" w14:textId="77777777" w:rsidR="001709D5" w:rsidRPr="001709D5" w:rsidRDefault="001709D5" w:rsidP="00695E28">
            <w:pPr>
              <w:spacing w:after="0" w:line="240" w:lineRule="auto"/>
              <w:rPr>
                <w:rFonts w:eastAsia="Times New Roman"/>
                <w:b/>
                <w:bCs/>
                <w:color w:val="000000"/>
                <w:sz w:val="18"/>
                <w:szCs w:val="18"/>
                <w:lang w:eastAsia="es-ES"/>
              </w:rPr>
            </w:pPr>
            <w:r w:rsidRPr="001709D5">
              <w:rPr>
                <w:rFonts w:eastAsia="Times New Roman"/>
                <w:b/>
                <w:bCs/>
                <w:color w:val="000000"/>
                <w:sz w:val="18"/>
                <w:szCs w:val="18"/>
                <w:lang w:eastAsia="es-ES"/>
              </w:rPr>
              <w:t xml:space="preserve">   Tributos</w:t>
            </w:r>
          </w:p>
        </w:tc>
        <w:tc>
          <w:tcPr>
            <w:tcW w:w="1559" w:type="dxa"/>
            <w:tcBorders>
              <w:top w:val="nil"/>
              <w:left w:val="nil"/>
              <w:bottom w:val="nil"/>
              <w:right w:val="nil"/>
            </w:tcBorders>
            <w:shd w:val="clear" w:color="auto" w:fill="auto"/>
            <w:noWrap/>
            <w:vAlign w:val="center"/>
            <w:hideMark/>
          </w:tcPr>
          <w:p w14:paraId="027CF80E"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631</w:t>
            </w:r>
          </w:p>
        </w:tc>
        <w:tc>
          <w:tcPr>
            <w:tcW w:w="2126" w:type="dxa"/>
            <w:tcBorders>
              <w:top w:val="nil"/>
              <w:left w:val="nil"/>
              <w:bottom w:val="nil"/>
              <w:right w:val="nil"/>
            </w:tcBorders>
            <w:shd w:val="clear" w:color="auto" w:fill="auto"/>
            <w:noWrap/>
            <w:vAlign w:val="bottom"/>
            <w:hideMark/>
          </w:tcPr>
          <w:p w14:paraId="0F44E5B0" w14:textId="3F66DE46"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w:t>
            </w:r>
            <w:r w:rsidR="00AA2DAB">
              <w:rPr>
                <w:rFonts w:eastAsia="Times New Roman"/>
                <w:b/>
                <w:bCs/>
                <w:sz w:val="18"/>
                <w:szCs w:val="18"/>
                <w:lang w:eastAsia="es-ES"/>
              </w:rPr>
              <w:t>1.677</w:t>
            </w:r>
            <w:r w:rsidRPr="001709D5">
              <w:rPr>
                <w:rFonts w:eastAsia="Times New Roman"/>
                <w:b/>
                <w:bCs/>
                <w:sz w:val="18"/>
                <w:szCs w:val="18"/>
                <w:lang w:eastAsia="es-ES"/>
              </w:rPr>
              <w:t>)</w:t>
            </w:r>
          </w:p>
        </w:tc>
      </w:tr>
      <w:tr w:rsidR="001709D5" w:rsidRPr="001709D5" w14:paraId="346527E8" w14:textId="77777777" w:rsidTr="00695E28">
        <w:trPr>
          <w:trHeight w:val="300"/>
        </w:trPr>
        <w:tc>
          <w:tcPr>
            <w:tcW w:w="5459" w:type="dxa"/>
            <w:tcBorders>
              <w:top w:val="nil"/>
              <w:left w:val="nil"/>
              <w:bottom w:val="nil"/>
              <w:right w:val="nil"/>
            </w:tcBorders>
            <w:shd w:val="clear" w:color="000000" w:fill="BFBFBF"/>
            <w:noWrap/>
            <w:vAlign w:val="bottom"/>
            <w:hideMark/>
          </w:tcPr>
          <w:p w14:paraId="7D3A9D4C" w14:textId="77777777" w:rsidR="001709D5" w:rsidRPr="001709D5" w:rsidRDefault="001709D5" w:rsidP="00695E28">
            <w:pPr>
              <w:spacing w:after="0" w:line="240" w:lineRule="auto"/>
              <w:rPr>
                <w:rFonts w:eastAsia="Times New Roman"/>
                <w:b/>
                <w:bCs/>
                <w:color w:val="000000"/>
                <w:sz w:val="18"/>
                <w:szCs w:val="18"/>
                <w:lang w:eastAsia="es-ES"/>
              </w:rPr>
            </w:pPr>
            <w:r w:rsidRPr="001709D5">
              <w:rPr>
                <w:rFonts w:eastAsia="Times New Roman"/>
                <w:b/>
                <w:bCs/>
                <w:color w:val="000000"/>
                <w:sz w:val="18"/>
                <w:szCs w:val="18"/>
                <w:lang w:eastAsia="es-ES"/>
              </w:rPr>
              <w:t xml:space="preserve">9. Amortización del inmovilizado </w:t>
            </w:r>
          </w:p>
        </w:tc>
        <w:tc>
          <w:tcPr>
            <w:tcW w:w="1559" w:type="dxa"/>
            <w:tcBorders>
              <w:top w:val="nil"/>
              <w:left w:val="nil"/>
              <w:bottom w:val="nil"/>
              <w:right w:val="nil"/>
            </w:tcBorders>
            <w:shd w:val="clear" w:color="000000" w:fill="BFBFBF"/>
            <w:noWrap/>
            <w:vAlign w:val="bottom"/>
            <w:hideMark/>
          </w:tcPr>
          <w:p w14:paraId="4CB15DC0" w14:textId="77777777" w:rsidR="001709D5" w:rsidRPr="001709D5" w:rsidRDefault="001709D5" w:rsidP="00695E28">
            <w:pPr>
              <w:spacing w:after="0" w:line="240" w:lineRule="auto"/>
              <w:rPr>
                <w:rFonts w:eastAsia="Times New Roman"/>
                <w:b/>
                <w:bCs/>
                <w:color w:val="000000"/>
                <w:sz w:val="18"/>
                <w:szCs w:val="18"/>
                <w:lang w:eastAsia="es-ES"/>
              </w:rPr>
            </w:pPr>
            <w:r w:rsidRPr="001709D5">
              <w:rPr>
                <w:rFonts w:eastAsia="Times New Roman"/>
                <w:b/>
                <w:bCs/>
                <w:color w:val="000000"/>
                <w:sz w:val="18"/>
                <w:szCs w:val="18"/>
                <w:lang w:eastAsia="es-ES"/>
              </w:rPr>
              <w:t> </w:t>
            </w:r>
          </w:p>
        </w:tc>
        <w:tc>
          <w:tcPr>
            <w:tcW w:w="2126" w:type="dxa"/>
            <w:tcBorders>
              <w:top w:val="nil"/>
              <w:left w:val="nil"/>
              <w:bottom w:val="nil"/>
              <w:right w:val="nil"/>
            </w:tcBorders>
            <w:shd w:val="clear" w:color="000000" w:fill="BFBFBF"/>
            <w:noWrap/>
            <w:vAlign w:val="bottom"/>
            <w:hideMark/>
          </w:tcPr>
          <w:p w14:paraId="4B667361" w14:textId="698491A7" w:rsidR="001709D5" w:rsidRPr="001709D5" w:rsidRDefault="001709D5" w:rsidP="00695E28">
            <w:pPr>
              <w:spacing w:after="0" w:line="240" w:lineRule="auto"/>
              <w:jc w:val="center"/>
              <w:rPr>
                <w:rFonts w:eastAsia="Times New Roman"/>
                <w:b/>
                <w:bCs/>
                <w:color w:val="000000"/>
                <w:sz w:val="18"/>
                <w:szCs w:val="18"/>
                <w:lang w:eastAsia="es-ES"/>
              </w:rPr>
            </w:pPr>
            <w:r w:rsidRPr="001709D5">
              <w:rPr>
                <w:rFonts w:eastAsia="Times New Roman"/>
                <w:b/>
                <w:bCs/>
                <w:color w:val="000000"/>
                <w:sz w:val="18"/>
                <w:szCs w:val="18"/>
                <w:lang w:eastAsia="es-ES"/>
              </w:rPr>
              <w:t>(</w:t>
            </w:r>
            <w:r w:rsidR="00AA2DAB">
              <w:rPr>
                <w:rFonts w:eastAsia="Times New Roman"/>
                <w:b/>
                <w:bCs/>
                <w:color w:val="000000"/>
                <w:sz w:val="18"/>
                <w:szCs w:val="18"/>
                <w:lang w:eastAsia="es-ES"/>
              </w:rPr>
              <w:t>92.556</w:t>
            </w:r>
            <w:r w:rsidRPr="001709D5">
              <w:rPr>
                <w:rFonts w:eastAsia="Times New Roman"/>
                <w:b/>
                <w:bCs/>
                <w:color w:val="000000"/>
                <w:sz w:val="18"/>
                <w:szCs w:val="18"/>
                <w:lang w:eastAsia="es-ES"/>
              </w:rPr>
              <w:t>)</w:t>
            </w:r>
          </w:p>
        </w:tc>
      </w:tr>
      <w:tr w:rsidR="001709D5" w:rsidRPr="001709D5" w14:paraId="07214F67" w14:textId="77777777" w:rsidTr="00695E28">
        <w:trPr>
          <w:trHeight w:val="300"/>
        </w:trPr>
        <w:tc>
          <w:tcPr>
            <w:tcW w:w="5459" w:type="dxa"/>
            <w:tcBorders>
              <w:top w:val="nil"/>
              <w:left w:val="nil"/>
              <w:bottom w:val="nil"/>
              <w:right w:val="nil"/>
            </w:tcBorders>
            <w:shd w:val="clear" w:color="auto" w:fill="auto"/>
            <w:noWrap/>
            <w:vAlign w:val="bottom"/>
            <w:hideMark/>
          </w:tcPr>
          <w:p w14:paraId="27B8B6B1"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Amortización del inmovilizado inmaterial</w:t>
            </w:r>
          </w:p>
        </w:tc>
        <w:tc>
          <w:tcPr>
            <w:tcW w:w="1559" w:type="dxa"/>
            <w:tcBorders>
              <w:top w:val="nil"/>
              <w:left w:val="nil"/>
              <w:bottom w:val="nil"/>
              <w:right w:val="nil"/>
            </w:tcBorders>
            <w:shd w:val="clear" w:color="000000" w:fill="FFFFFF"/>
            <w:noWrap/>
            <w:vAlign w:val="bottom"/>
            <w:hideMark/>
          </w:tcPr>
          <w:p w14:paraId="74455BBF" w14:textId="77777777" w:rsidR="001709D5" w:rsidRPr="001709D5" w:rsidRDefault="001709D5" w:rsidP="00695E28">
            <w:pPr>
              <w:spacing w:after="0" w:line="240" w:lineRule="auto"/>
              <w:jc w:val="center"/>
              <w:rPr>
                <w:rFonts w:eastAsia="Times New Roman"/>
                <w:b/>
                <w:bCs/>
                <w:color w:val="000000"/>
                <w:sz w:val="18"/>
                <w:szCs w:val="18"/>
                <w:lang w:eastAsia="es-ES"/>
              </w:rPr>
            </w:pPr>
            <w:r w:rsidRPr="001709D5">
              <w:rPr>
                <w:rFonts w:eastAsia="Times New Roman"/>
                <w:b/>
                <w:bCs/>
                <w:color w:val="000000"/>
                <w:sz w:val="18"/>
                <w:szCs w:val="18"/>
                <w:lang w:eastAsia="es-ES"/>
              </w:rPr>
              <w:t>680</w:t>
            </w:r>
          </w:p>
        </w:tc>
        <w:tc>
          <w:tcPr>
            <w:tcW w:w="2126" w:type="dxa"/>
            <w:tcBorders>
              <w:top w:val="nil"/>
              <w:left w:val="nil"/>
              <w:bottom w:val="nil"/>
              <w:right w:val="nil"/>
            </w:tcBorders>
            <w:shd w:val="clear" w:color="000000" w:fill="FFFFFF"/>
            <w:noWrap/>
            <w:vAlign w:val="bottom"/>
            <w:hideMark/>
          </w:tcPr>
          <w:p w14:paraId="23DD981D" w14:textId="362DF117" w:rsidR="001709D5" w:rsidRPr="001709D5" w:rsidRDefault="001709D5" w:rsidP="00695E28">
            <w:pPr>
              <w:spacing w:after="0" w:line="240" w:lineRule="auto"/>
              <w:jc w:val="center"/>
              <w:rPr>
                <w:rFonts w:eastAsia="Times New Roman"/>
                <w:sz w:val="18"/>
                <w:szCs w:val="18"/>
                <w:lang w:eastAsia="es-ES"/>
              </w:rPr>
            </w:pPr>
            <w:r w:rsidRPr="001709D5">
              <w:rPr>
                <w:rFonts w:eastAsia="Times New Roman"/>
                <w:sz w:val="18"/>
                <w:szCs w:val="18"/>
                <w:lang w:eastAsia="es-ES"/>
              </w:rPr>
              <w:t>(</w:t>
            </w:r>
            <w:r w:rsidR="00AA2DAB">
              <w:rPr>
                <w:rFonts w:eastAsia="Times New Roman"/>
                <w:sz w:val="18"/>
                <w:szCs w:val="18"/>
                <w:lang w:eastAsia="es-ES"/>
              </w:rPr>
              <w:t>6.544</w:t>
            </w:r>
            <w:r w:rsidRPr="001709D5">
              <w:rPr>
                <w:rFonts w:eastAsia="Times New Roman"/>
                <w:sz w:val="18"/>
                <w:szCs w:val="18"/>
                <w:lang w:eastAsia="es-ES"/>
              </w:rPr>
              <w:t>)</w:t>
            </w:r>
          </w:p>
        </w:tc>
      </w:tr>
      <w:tr w:rsidR="001709D5" w:rsidRPr="001709D5" w14:paraId="0E39EA3D" w14:textId="77777777" w:rsidTr="00695E28">
        <w:trPr>
          <w:trHeight w:val="300"/>
        </w:trPr>
        <w:tc>
          <w:tcPr>
            <w:tcW w:w="5459" w:type="dxa"/>
            <w:tcBorders>
              <w:top w:val="nil"/>
              <w:left w:val="nil"/>
              <w:bottom w:val="nil"/>
              <w:right w:val="nil"/>
            </w:tcBorders>
            <w:shd w:val="clear" w:color="auto" w:fill="auto"/>
            <w:noWrap/>
            <w:vAlign w:val="bottom"/>
            <w:hideMark/>
          </w:tcPr>
          <w:p w14:paraId="23EFE51B"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Amortización del inmovilizado material</w:t>
            </w:r>
          </w:p>
        </w:tc>
        <w:tc>
          <w:tcPr>
            <w:tcW w:w="1559" w:type="dxa"/>
            <w:tcBorders>
              <w:top w:val="nil"/>
              <w:left w:val="nil"/>
              <w:bottom w:val="nil"/>
              <w:right w:val="nil"/>
            </w:tcBorders>
            <w:shd w:val="clear" w:color="auto" w:fill="auto"/>
            <w:noWrap/>
            <w:vAlign w:val="bottom"/>
            <w:hideMark/>
          </w:tcPr>
          <w:p w14:paraId="4535099C" w14:textId="77777777" w:rsidR="001709D5" w:rsidRPr="001709D5" w:rsidRDefault="001709D5" w:rsidP="00695E28">
            <w:pPr>
              <w:spacing w:after="0" w:line="240" w:lineRule="auto"/>
              <w:jc w:val="center"/>
              <w:rPr>
                <w:rFonts w:eastAsia="Times New Roman"/>
                <w:b/>
                <w:bCs/>
                <w:color w:val="000000"/>
                <w:sz w:val="18"/>
                <w:szCs w:val="18"/>
                <w:lang w:eastAsia="es-ES"/>
              </w:rPr>
            </w:pPr>
            <w:r w:rsidRPr="001709D5">
              <w:rPr>
                <w:rFonts w:eastAsia="Times New Roman"/>
                <w:b/>
                <w:bCs/>
                <w:color w:val="000000"/>
                <w:sz w:val="18"/>
                <w:szCs w:val="18"/>
                <w:lang w:eastAsia="es-ES"/>
              </w:rPr>
              <w:t>681</w:t>
            </w:r>
          </w:p>
        </w:tc>
        <w:tc>
          <w:tcPr>
            <w:tcW w:w="2126" w:type="dxa"/>
            <w:tcBorders>
              <w:top w:val="nil"/>
              <w:left w:val="nil"/>
              <w:bottom w:val="nil"/>
              <w:right w:val="nil"/>
            </w:tcBorders>
            <w:shd w:val="clear" w:color="auto" w:fill="auto"/>
            <w:noWrap/>
            <w:vAlign w:val="bottom"/>
            <w:hideMark/>
          </w:tcPr>
          <w:p w14:paraId="1EBE867B" w14:textId="77D37308" w:rsidR="001709D5" w:rsidRPr="001709D5" w:rsidRDefault="001709D5" w:rsidP="00695E28">
            <w:pPr>
              <w:spacing w:after="0" w:line="240" w:lineRule="auto"/>
              <w:jc w:val="center"/>
              <w:rPr>
                <w:rFonts w:eastAsia="Times New Roman"/>
                <w:sz w:val="18"/>
                <w:szCs w:val="18"/>
                <w:lang w:eastAsia="es-ES"/>
              </w:rPr>
            </w:pPr>
            <w:r w:rsidRPr="001709D5">
              <w:rPr>
                <w:rFonts w:eastAsia="Times New Roman"/>
                <w:sz w:val="18"/>
                <w:szCs w:val="18"/>
                <w:lang w:eastAsia="es-ES"/>
              </w:rPr>
              <w:t>(</w:t>
            </w:r>
            <w:r w:rsidR="00AA2DAB">
              <w:rPr>
                <w:rFonts w:eastAsia="Times New Roman"/>
                <w:sz w:val="18"/>
                <w:szCs w:val="18"/>
                <w:lang w:eastAsia="es-ES"/>
              </w:rPr>
              <w:t>86.012</w:t>
            </w:r>
            <w:r w:rsidRPr="001709D5">
              <w:rPr>
                <w:rFonts w:eastAsia="Times New Roman"/>
                <w:sz w:val="18"/>
                <w:szCs w:val="18"/>
                <w:lang w:eastAsia="es-ES"/>
              </w:rPr>
              <w:t>)</w:t>
            </w:r>
          </w:p>
        </w:tc>
      </w:tr>
      <w:tr w:rsidR="001709D5" w:rsidRPr="001709D5" w14:paraId="748C8394" w14:textId="77777777" w:rsidTr="00695E28">
        <w:trPr>
          <w:trHeight w:val="300"/>
        </w:trPr>
        <w:tc>
          <w:tcPr>
            <w:tcW w:w="5459" w:type="dxa"/>
            <w:tcBorders>
              <w:top w:val="nil"/>
              <w:left w:val="nil"/>
              <w:bottom w:val="nil"/>
              <w:right w:val="nil"/>
            </w:tcBorders>
            <w:shd w:val="clear" w:color="000000" w:fill="808080"/>
            <w:noWrap/>
            <w:vAlign w:val="bottom"/>
            <w:hideMark/>
          </w:tcPr>
          <w:p w14:paraId="5EDBD98F" w14:textId="77777777" w:rsidR="001709D5" w:rsidRPr="001709D5" w:rsidRDefault="001709D5" w:rsidP="00695E28">
            <w:pPr>
              <w:spacing w:after="0" w:line="240" w:lineRule="auto"/>
              <w:rPr>
                <w:rFonts w:eastAsia="Times New Roman"/>
                <w:b/>
                <w:bCs/>
                <w:sz w:val="18"/>
                <w:szCs w:val="18"/>
                <w:lang w:eastAsia="es-ES"/>
              </w:rPr>
            </w:pPr>
            <w:r w:rsidRPr="001709D5">
              <w:rPr>
                <w:rFonts w:eastAsia="Times New Roman"/>
                <w:b/>
                <w:bCs/>
                <w:sz w:val="18"/>
                <w:szCs w:val="18"/>
                <w:lang w:eastAsia="es-ES"/>
              </w:rPr>
              <w:t>RESULTADO DE EXPLOTACIÓN</w:t>
            </w:r>
          </w:p>
        </w:tc>
        <w:tc>
          <w:tcPr>
            <w:tcW w:w="1559" w:type="dxa"/>
            <w:tcBorders>
              <w:top w:val="nil"/>
              <w:left w:val="nil"/>
              <w:bottom w:val="nil"/>
              <w:right w:val="nil"/>
            </w:tcBorders>
            <w:shd w:val="clear" w:color="000000" w:fill="808080"/>
            <w:noWrap/>
            <w:vAlign w:val="bottom"/>
            <w:hideMark/>
          </w:tcPr>
          <w:p w14:paraId="33363404"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 </w:t>
            </w:r>
          </w:p>
        </w:tc>
        <w:tc>
          <w:tcPr>
            <w:tcW w:w="2126" w:type="dxa"/>
            <w:tcBorders>
              <w:top w:val="nil"/>
              <w:left w:val="nil"/>
              <w:bottom w:val="nil"/>
              <w:right w:val="nil"/>
            </w:tcBorders>
            <w:shd w:val="clear" w:color="000000" w:fill="808080"/>
            <w:noWrap/>
            <w:vAlign w:val="bottom"/>
            <w:hideMark/>
          </w:tcPr>
          <w:p w14:paraId="41765AF7" w14:textId="1604CE19" w:rsidR="001709D5" w:rsidRPr="001709D5" w:rsidRDefault="00AA2DAB" w:rsidP="00695E28">
            <w:pPr>
              <w:spacing w:after="0" w:line="240" w:lineRule="auto"/>
              <w:jc w:val="center"/>
              <w:rPr>
                <w:rFonts w:eastAsia="Times New Roman"/>
                <w:b/>
                <w:bCs/>
                <w:sz w:val="18"/>
                <w:szCs w:val="18"/>
                <w:lang w:eastAsia="es-ES"/>
              </w:rPr>
            </w:pPr>
            <w:r>
              <w:rPr>
                <w:rFonts w:eastAsia="Times New Roman"/>
                <w:b/>
                <w:bCs/>
                <w:sz w:val="18"/>
                <w:szCs w:val="18"/>
                <w:lang w:eastAsia="es-ES"/>
              </w:rPr>
              <w:t>2.146</w:t>
            </w:r>
          </w:p>
        </w:tc>
      </w:tr>
      <w:tr w:rsidR="001709D5" w:rsidRPr="001709D5" w14:paraId="781F7BA2" w14:textId="77777777" w:rsidTr="00695E28">
        <w:trPr>
          <w:trHeight w:val="300"/>
        </w:trPr>
        <w:tc>
          <w:tcPr>
            <w:tcW w:w="5459" w:type="dxa"/>
            <w:tcBorders>
              <w:top w:val="nil"/>
              <w:left w:val="nil"/>
              <w:bottom w:val="nil"/>
              <w:right w:val="nil"/>
            </w:tcBorders>
            <w:shd w:val="clear" w:color="000000" w:fill="FFFFFF"/>
            <w:noWrap/>
            <w:vAlign w:val="bottom"/>
            <w:hideMark/>
          </w:tcPr>
          <w:p w14:paraId="4DA0BA67" w14:textId="77777777" w:rsidR="001709D5" w:rsidRPr="001709D5" w:rsidRDefault="001709D5" w:rsidP="00695E28">
            <w:pPr>
              <w:spacing w:after="0" w:line="240" w:lineRule="auto"/>
              <w:rPr>
                <w:rFonts w:eastAsia="Times New Roman"/>
                <w:b/>
                <w:bCs/>
                <w:color w:val="000000"/>
                <w:sz w:val="18"/>
                <w:szCs w:val="18"/>
                <w:lang w:eastAsia="es-ES"/>
              </w:rPr>
            </w:pPr>
            <w:r w:rsidRPr="001709D5">
              <w:rPr>
                <w:rFonts w:eastAsia="Times New Roman"/>
                <w:b/>
                <w:bCs/>
                <w:color w:val="000000"/>
                <w:sz w:val="18"/>
                <w:szCs w:val="18"/>
                <w:lang w:eastAsia="es-ES"/>
              </w:rPr>
              <w:t> </w:t>
            </w:r>
          </w:p>
        </w:tc>
        <w:tc>
          <w:tcPr>
            <w:tcW w:w="1559" w:type="dxa"/>
            <w:tcBorders>
              <w:top w:val="nil"/>
              <w:left w:val="nil"/>
              <w:bottom w:val="nil"/>
              <w:right w:val="nil"/>
            </w:tcBorders>
            <w:shd w:val="clear" w:color="000000" w:fill="FFFFFF"/>
            <w:noWrap/>
            <w:vAlign w:val="bottom"/>
            <w:hideMark/>
          </w:tcPr>
          <w:p w14:paraId="2A1BE227" w14:textId="77777777" w:rsidR="001709D5" w:rsidRPr="001709D5" w:rsidRDefault="001709D5" w:rsidP="00695E28">
            <w:pPr>
              <w:spacing w:after="0" w:line="240" w:lineRule="auto"/>
              <w:rPr>
                <w:rFonts w:eastAsia="Times New Roman"/>
                <w:b/>
                <w:bCs/>
                <w:color w:val="000000"/>
                <w:sz w:val="18"/>
                <w:szCs w:val="18"/>
                <w:lang w:eastAsia="es-ES"/>
              </w:rPr>
            </w:pPr>
            <w:r w:rsidRPr="001709D5">
              <w:rPr>
                <w:rFonts w:eastAsia="Times New Roman"/>
                <w:b/>
                <w:bCs/>
                <w:color w:val="000000"/>
                <w:sz w:val="18"/>
                <w:szCs w:val="18"/>
                <w:lang w:eastAsia="es-ES"/>
              </w:rPr>
              <w:t> </w:t>
            </w:r>
          </w:p>
        </w:tc>
        <w:tc>
          <w:tcPr>
            <w:tcW w:w="2126" w:type="dxa"/>
            <w:tcBorders>
              <w:top w:val="nil"/>
              <w:left w:val="nil"/>
              <w:bottom w:val="nil"/>
              <w:right w:val="nil"/>
            </w:tcBorders>
            <w:shd w:val="clear" w:color="000000" w:fill="FFFFFF"/>
            <w:noWrap/>
            <w:vAlign w:val="bottom"/>
            <w:hideMark/>
          </w:tcPr>
          <w:p w14:paraId="0ABFB8C1"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 </w:t>
            </w:r>
          </w:p>
        </w:tc>
      </w:tr>
      <w:tr w:rsidR="001709D5" w:rsidRPr="001709D5" w14:paraId="2772FFC6" w14:textId="77777777" w:rsidTr="00695E28">
        <w:trPr>
          <w:trHeight w:val="300"/>
        </w:trPr>
        <w:tc>
          <w:tcPr>
            <w:tcW w:w="5459" w:type="dxa"/>
            <w:tcBorders>
              <w:top w:val="nil"/>
              <w:left w:val="nil"/>
              <w:bottom w:val="nil"/>
              <w:right w:val="nil"/>
            </w:tcBorders>
            <w:shd w:val="clear" w:color="000000" w:fill="BFBFBF"/>
            <w:noWrap/>
            <w:vAlign w:val="bottom"/>
            <w:hideMark/>
          </w:tcPr>
          <w:p w14:paraId="6AD6E68B" w14:textId="77777777" w:rsidR="001709D5" w:rsidRPr="001709D5" w:rsidRDefault="001709D5" w:rsidP="00695E28">
            <w:pPr>
              <w:spacing w:after="0" w:line="240" w:lineRule="auto"/>
              <w:rPr>
                <w:rFonts w:eastAsia="Times New Roman"/>
                <w:b/>
                <w:bCs/>
                <w:sz w:val="18"/>
                <w:szCs w:val="18"/>
                <w:lang w:eastAsia="es-ES"/>
              </w:rPr>
            </w:pPr>
            <w:r w:rsidRPr="001709D5">
              <w:rPr>
                <w:rFonts w:eastAsia="Times New Roman"/>
                <w:b/>
                <w:bCs/>
                <w:sz w:val="18"/>
                <w:szCs w:val="18"/>
                <w:lang w:eastAsia="es-ES"/>
              </w:rPr>
              <w:t>12. Deterioro y resultado por enaj. del inmov</w:t>
            </w:r>
          </w:p>
        </w:tc>
        <w:tc>
          <w:tcPr>
            <w:tcW w:w="1559" w:type="dxa"/>
            <w:tcBorders>
              <w:top w:val="nil"/>
              <w:left w:val="nil"/>
              <w:bottom w:val="nil"/>
              <w:right w:val="nil"/>
            </w:tcBorders>
            <w:shd w:val="clear" w:color="000000" w:fill="BFBFBF"/>
            <w:noWrap/>
            <w:vAlign w:val="bottom"/>
            <w:hideMark/>
          </w:tcPr>
          <w:p w14:paraId="51574387" w14:textId="77777777" w:rsidR="001709D5" w:rsidRPr="001709D5" w:rsidRDefault="001709D5" w:rsidP="00695E28">
            <w:pPr>
              <w:spacing w:after="0" w:line="240" w:lineRule="auto"/>
              <w:rPr>
                <w:rFonts w:eastAsia="Times New Roman"/>
                <w:b/>
                <w:bCs/>
                <w:sz w:val="18"/>
                <w:szCs w:val="18"/>
                <w:lang w:eastAsia="es-ES"/>
              </w:rPr>
            </w:pPr>
            <w:r w:rsidRPr="001709D5">
              <w:rPr>
                <w:rFonts w:eastAsia="Times New Roman"/>
                <w:b/>
                <w:bCs/>
                <w:sz w:val="18"/>
                <w:szCs w:val="18"/>
                <w:lang w:eastAsia="es-ES"/>
              </w:rPr>
              <w:t> </w:t>
            </w:r>
          </w:p>
        </w:tc>
        <w:tc>
          <w:tcPr>
            <w:tcW w:w="2126" w:type="dxa"/>
            <w:tcBorders>
              <w:top w:val="nil"/>
              <w:left w:val="nil"/>
              <w:bottom w:val="nil"/>
              <w:right w:val="nil"/>
            </w:tcBorders>
            <w:shd w:val="clear" w:color="000000" w:fill="BFBFBF"/>
            <w:noWrap/>
            <w:vAlign w:val="bottom"/>
            <w:hideMark/>
          </w:tcPr>
          <w:p w14:paraId="1BC67494"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w:t>
            </w:r>
          </w:p>
        </w:tc>
      </w:tr>
      <w:tr w:rsidR="001709D5" w:rsidRPr="001709D5" w14:paraId="4F3A3561" w14:textId="77777777" w:rsidTr="00695E28">
        <w:trPr>
          <w:trHeight w:val="300"/>
        </w:trPr>
        <w:tc>
          <w:tcPr>
            <w:tcW w:w="5459" w:type="dxa"/>
            <w:tcBorders>
              <w:top w:val="nil"/>
              <w:left w:val="nil"/>
              <w:bottom w:val="nil"/>
              <w:right w:val="nil"/>
            </w:tcBorders>
            <w:shd w:val="clear" w:color="auto" w:fill="auto"/>
            <w:noWrap/>
            <w:vAlign w:val="bottom"/>
            <w:hideMark/>
          </w:tcPr>
          <w:p w14:paraId="01CB16A4"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Pérdidas procedentes del inmovilizado</w:t>
            </w:r>
          </w:p>
        </w:tc>
        <w:tc>
          <w:tcPr>
            <w:tcW w:w="1559" w:type="dxa"/>
            <w:tcBorders>
              <w:top w:val="nil"/>
              <w:left w:val="nil"/>
              <w:bottom w:val="nil"/>
              <w:right w:val="nil"/>
            </w:tcBorders>
            <w:shd w:val="clear" w:color="auto" w:fill="auto"/>
            <w:noWrap/>
            <w:vAlign w:val="center"/>
            <w:hideMark/>
          </w:tcPr>
          <w:p w14:paraId="67303E88"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671</w:t>
            </w:r>
          </w:p>
        </w:tc>
        <w:tc>
          <w:tcPr>
            <w:tcW w:w="2126" w:type="dxa"/>
            <w:tcBorders>
              <w:top w:val="nil"/>
              <w:left w:val="nil"/>
              <w:bottom w:val="nil"/>
              <w:right w:val="nil"/>
            </w:tcBorders>
            <w:shd w:val="clear" w:color="auto" w:fill="auto"/>
            <w:noWrap/>
            <w:vAlign w:val="bottom"/>
            <w:hideMark/>
          </w:tcPr>
          <w:p w14:paraId="40DBE703" w14:textId="77777777" w:rsidR="001709D5" w:rsidRPr="001709D5" w:rsidRDefault="001709D5" w:rsidP="00695E28">
            <w:pPr>
              <w:spacing w:after="0" w:line="240" w:lineRule="auto"/>
              <w:jc w:val="center"/>
              <w:rPr>
                <w:rFonts w:eastAsia="Times New Roman"/>
                <w:sz w:val="18"/>
                <w:szCs w:val="18"/>
                <w:lang w:eastAsia="es-ES"/>
              </w:rPr>
            </w:pPr>
            <w:r w:rsidRPr="001709D5">
              <w:rPr>
                <w:rFonts w:eastAsia="Times New Roman"/>
                <w:sz w:val="18"/>
                <w:szCs w:val="18"/>
                <w:lang w:eastAsia="es-ES"/>
              </w:rPr>
              <w:t>-</w:t>
            </w:r>
          </w:p>
        </w:tc>
      </w:tr>
      <w:tr w:rsidR="001709D5" w:rsidRPr="001709D5" w14:paraId="1EC01F76" w14:textId="77777777" w:rsidTr="00695E28">
        <w:trPr>
          <w:trHeight w:val="300"/>
        </w:trPr>
        <w:tc>
          <w:tcPr>
            <w:tcW w:w="5459" w:type="dxa"/>
            <w:tcBorders>
              <w:top w:val="nil"/>
              <w:left w:val="nil"/>
              <w:bottom w:val="nil"/>
              <w:right w:val="nil"/>
            </w:tcBorders>
            <w:shd w:val="clear" w:color="000000" w:fill="BFBFBF"/>
            <w:noWrap/>
            <w:vAlign w:val="bottom"/>
            <w:hideMark/>
          </w:tcPr>
          <w:p w14:paraId="071EBB89" w14:textId="77777777" w:rsidR="001709D5" w:rsidRPr="001709D5" w:rsidRDefault="001709D5" w:rsidP="00695E28">
            <w:pPr>
              <w:spacing w:after="0" w:line="240" w:lineRule="auto"/>
              <w:rPr>
                <w:rFonts w:eastAsia="Times New Roman"/>
                <w:b/>
                <w:bCs/>
                <w:sz w:val="18"/>
                <w:szCs w:val="18"/>
                <w:lang w:eastAsia="es-ES"/>
              </w:rPr>
            </w:pPr>
            <w:r w:rsidRPr="001709D5">
              <w:rPr>
                <w:rFonts w:eastAsia="Times New Roman"/>
                <w:b/>
                <w:bCs/>
                <w:sz w:val="18"/>
                <w:szCs w:val="18"/>
                <w:lang w:eastAsia="es-ES"/>
              </w:rPr>
              <w:t>13. Otros resultados</w:t>
            </w:r>
          </w:p>
        </w:tc>
        <w:tc>
          <w:tcPr>
            <w:tcW w:w="1559" w:type="dxa"/>
            <w:tcBorders>
              <w:top w:val="nil"/>
              <w:left w:val="nil"/>
              <w:bottom w:val="nil"/>
              <w:right w:val="nil"/>
            </w:tcBorders>
            <w:shd w:val="clear" w:color="000000" w:fill="BFBFBF"/>
            <w:noWrap/>
            <w:vAlign w:val="bottom"/>
            <w:hideMark/>
          </w:tcPr>
          <w:p w14:paraId="410D1C75"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 </w:t>
            </w:r>
          </w:p>
        </w:tc>
        <w:tc>
          <w:tcPr>
            <w:tcW w:w="2126" w:type="dxa"/>
            <w:tcBorders>
              <w:top w:val="nil"/>
              <w:left w:val="nil"/>
              <w:bottom w:val="nil"/>
              <w:right w:val="nil"/>
            </w:tcBorders>
            <w:shd w:val="clear" w:color="000000" w:fill="BFBFBF"/>
            <w:noWrap/>
            <w:vAlign w:val="bottom"/>
            <w:hideMark/>
          </w:tcPr>
          <w:p w14:paraId="2F099C5B"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w:t>
            </w:r>
          </w:p>
        </w:tc>
      </w:tr>
      <w:tr w:rsidR="001709D5" w:rsidRPr="001709D5" w14:paraId="68403BFA" w14:textId="77777777" w:rsidTr="00695E28">
        <w:trPr>
          <w:trHeight w:val="300"/>
        </w:trPr>
        <w:tc>
          <w:tcPr>
            <w:tcW w:w="5459" w:type="dxa"/>
            <w:tcBorders>
              <w:top w:val="nil"/>
              <w:left w:val="nil"/>
              <w:bottom w:val="nil"/>
              <w:right w:val="nil"/>
            </w:tcBorders>
            <w:shd w:val="clear" w:color="000000" w:fill="FFFFFF"/>
            <w:noWrap/>
            <w:vAlign w:val="bottom"/>
            <w:hideMark/>
          </w:tcPr>
          <w:p w14:paraId="4B83A185" w14:textId="77777777" w:rsidR="001709D5" w:rsidRPr="001709D5" w:rsidRDefault="001709D5" w:rsidP="00695E28">
            <w:pPr>
              <w:spacing w:after="0" w:line="240" w:lineRule="auto"/>
              <w:rPr>
                <w:rFonts w:eastAsia="Times New Roman"/>
                <w:b/>
                <w:bCs/>
                <w:color w:val="000000"/>
                <w:sz w:val="18"/>
                <w:szCs w:val="18"/>
                <w:lang w:eastAsia="es-ES"/>
              </w:rPr>
            </w:pPr>
            <w:r w:rsidRPr="001709D5">
              <w:rPr>
                <w:rFonts w:eastAsia="Times New Roman"/>
                <w:b/>
                <w:bCs/>
                <w:color w:val="000000"/>
                <w:sz w:val="18"/>
                <w:szCs w:val="18"/>
                <w:lang w:eastAsia="es-ES"/>
              </w:rPr>
              <w:t xml:space="preserve">Gastos excepcionales </w:t>
            </w:r>
          </w:p>
        </w:tc>
        <w:tc>
          <w:tcPr>
            <w:tcW w:w="1559" w:type="dxa"/>
            <w:tcBorders>
              <w:top w:val="nil"/>
              <w:left w:val="nil"/>
              <w:bottom w:val="nil"/>
              <w:right w:val="nil"/>
            </w:tcBorders>
            <w:shd w:val="clear" w:color="000000" w:fill="FFFFFF"/>
            <w:noWrap/>
            <w:vAlign w:val="center"/>
            <w:hideMark/>
          </w:tcPr>
          <w:p w14:paraId="13D8593D"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678</w:t>
            </w:r>
          </w:p>
        </w:tc>
        <w:tc>
          <w:tcPr>
            <w:tcW w:w="2126" w:type="dxa"/>
            <w:tcBorders>
              <w:top w:val="nil"/>
              <w:left w:val="nil"/>
              <w:bottom w:val="nil"/>
              <w:right w:val="nil"/>
            </w:tcBorders>
            <w:shd w:val="clear" w:color="000000" w:fill="FFFFFF"/>
            <w:noWrap/>
            <w:vAlign w:val="bottom"/>
            <w:hideMark/>
          </w:tcPr>
          <w:p w14:paraId="6DE43E8B"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w:t>
            </w:r>
          </w:p>
        </w:tc>
      </w:tr>
      <w:tr w:rsidR="001709D5" w:rsidRPr="001709D5" w14:paraId="7EEFD9C0" w14:textId="77777777" w:rsidTr="00695E28">
        <w:trPr>
          <w:trHeight w:val="300"/>
        </w:trPr>
        <w:tc>
          <w:tcPr>
            <w:tcW w:w="5459" w:type="dxa"/>
            <w:tcBorders>
              <w:top w:val="nil"/>
              <w:left w:val="nil"/>
              <w:bottom w:val="nil"/>
              <w:right w:val="nil"/>
            </w:tcBorders>
            <w:shd w:val="clear" w:color="000000" w:fill="FFFFFF"/>
            <w:noWrap/>
            <w:vAlign w:val="bottom"/>
            <w:hideMark/>
          </w:tcPr>
          <w:p w14:paraId="0349CBCD" w14:textId="77777777" w:rsidR="001709D5" w:rsidRPr="001709D5" w:rsidRDefault="001709D5" w:rsidP="00695E28">
            <w:pPr>
              <w:spacing w:after="0" w:line="240" w:lineRule="auto"/>
              <w:rPr>
                <w:rFonts w:eastAsia="Times New Roman"/>
                <w:b/>
                <w:bCs/>
                <w:color w:val="000000"/>
                <w:sz w:val="18"/>
                <w:szCs w:val="18"/>
                <w:lang w:eastAsia="es-ES"/>
              </w:rPr>
            </w:pPr>
            <w:r w:rsidRPr="001709D5">
              <w:rPr>
                <w:rFonts w:eastAsia="Times New Roman"/>
                <w:b/>
                <w:bCs/>
                <w:color w:val="000000"/>
                <w:sz w:val="18"/>
                <w:szCs w:val="18"/>
                <w:lang w:eastAsia="es-ES"/>
              </w:rPr>
              <w:t>Ingresos excepcionales</w:t>
            </w:r>
          </w:p>
        </w:tc>
        <w:tc>
          <w:tcPr>
            <w:tcW w:w="1559" w:type="dxa"/>
            <w:tcBorders>
              <w:top w:val="nil"/>
              <w:left w:val="nil"/>
              <w:bottom w:val="nil"/>
              <w:right w:val="nil"/>
            </w:tcBorders>
            <w:shd w:val="clear" w:color="000000" w:fill="FFFFFF"/>
            <w:noWrap/>
            <w:vAlign w:val="center"/>
            <w:hideMark/>
          </w:tcPr>
          <w:p w14:paraId="411C331E"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778</w:t>
            </w:r>
          </w:p>
        </w:tc>
        <w:tc>
          <w:tcPr>
            <w:tcW w:w="2126" w:type="dxa"/>
            <w:tcBorders>
              <w:top w:val="nil"/>
              <w:left w:val="nil"/>
              <w:bottom w:val="nil"/>
              <w:right w:val="nil"/>
            </w:tcBorders>
            <w:shd w:val="clear" w:color="000000" w:fill="FFFFFF"/>
            <w:noWrap/>
            <w:vAlign w:val="bottom"/>
            <w:hideMark/>
          </w:tcPr>
          <w:p w14:paraId="71E1CFDA"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w:t>
            </w:r>
          </w:p>
        </w:tc>
      </w:tr>
      <w:tr w:rsidR="001709D5" w:rsidRPr="001709D5" w14:paraId="2B027B30" w14:textId="77777777" w:rsidTr="00695E28">
        <w:trPr>
          <w:trHeight w:val="300"/>
        </w:trPr>
        <w:tc>
          <w:tcPr>
            <w:tcW w:w="5459" w:type="dxa"/>
            <w:tcBorders>
              <w:top w:val="nil"/>
              <w:left w:val="nil"/>
              <w:bottom w:val="nil"/>
              <w:right w:val="nil"/>
            </w:tcBorders>
            <w:shd w:val="clear" w:color="000000" w:fill="BFBFBF"/>
            <w:noWrap/>
            <w:vAlign w:val="bottom"/>
            <w:hideMark/>
          </w:tcPr>
          <w:p w14:paraId="528188D2" w14:textId="77777777" w:rsidR="001709D5" w:rsidRPr="001709D5" w:rsidRDefault="001709D5" w:rsidP="00695E28">
            <w:pPr>
              <w:spacing w:after="0" w:line="240" w:lineRule="auto"/>
              <w:rPr>
                <w:rFonts w:eastAsia="Times New Roman"/>
                <w:b/>
                <w:bCs/>
                <w:sz w:val="18"/>
                <w:szCs w:val="18"/>
                <w:lang w:eastAsia="es-ES"/>
              </w:rPr>
            </w:pPr>
            <w:r w:rsidRPr="001709D5">
              <w:rPr>
                <w:rFonts w:eastAsia="Times New Roman"/>
                <w:b/>
                <w:bCs/>
                <w:sz w:val="18"/>
                <w:szCs w:val="18"/>
                <w:lang w:eastAsia="es-ES"/>
              </w:rPr>
              <w:t>17. Gastos financieros/Diferencias de cambio</w:t>
            </w:r>
          </w:p>
        </w:tc>
        <w:tc>
          <w:tcPr>
            <w:tcW w:w="1559" w:type="dxa"/>
            <w:tcBorders>
              <w:top w:val="nil"/>
              <w:left w:val="nil"/>
              <w:bottom w:val="nil"/>
              <w:right w:val="nil"/>
            </w:tcBorders>
            <w:shd w:val="clear" w:color="000000" w:fill="BFBFBF"/>
            <w:noWrap/>
            <w:vAlign w:val="bottom"/>
            <w:hideMark/>
          </w:tcPr>
          <w:p w14:paraId="4E6AB3AF" w14:textId="77777777" w:rsidR="001709D5" w:rsidRPr="001709D5" w:rsidRDefault="001709D5" w:rsidP="00695E28">
            <w:pPr>
              <w:spacing w:after="0" w:line="240" w:lineRule="auto"/>
              <w:rPr>
                <w:rFonts w:eastAsia="Times New Roman"/>
                <w:b/>
                <w:bCs/>
                <w:sz w:val="18"/>
                <w:szCs w:val="18"/>
                <w:lang w:eastAsia="es-ES"/>
              </w:rPr>
            </w:pPr>
            <w:r w:rsidRPr="001709D5">
              <w:rPr>
                <w:rFonts w:eastAsia="Times New Roman"/>
                <w:b/>
                <w:bCs/>
                <w:sz w:val="18"/>
                <w:szCs w:val="18"/>
                <w:lang w:eastAsia="es-ES"/>
              </w:rPr>
              <w:t> </w:t>
            </w:r>
          </w:p>
        </w:tc>
        <w:tc>
          <w:tcPr>
            <w:tcW w:w="2126" w:type="dxa"/>
            <w:tcBorders>
              <w:top w:val="nil"/>
              <w:left w:val="nil"/>
              <w:bottom w:val="nil"/>
              <w:right w:val="nil"/>
            </w:tcBorders>
            <w:shd w:val="clear" w:color="000000" w:fill="BFBFBF"/>
            <w:noWrap/>
            <w:vAlign w:val="bottom"/>
            <w:hideMark/>
          </w:tcPr>
          <w:p w14:paraId="6E7C20C8"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w:t>
            </w:r>
          </w:p>
        </w:tc>
      </w:tr>
      <w:tr w:rsidR="001709D5" w:rsidRPr="001709D5" w14:paraId="34F2C864" w14:textId="77777777" w:rsidTr="00695E28">
        <w:trPr>
          <w:trHeight w:val="300"/>
        </w:trPr>
        <w:tc>
          <w:tcPr>
            <w:tcW w:w="5459" w:type="dxa"/>
            <w:tcBorders>
              <w:top w:val="nil"/>
              <w:left w:val="nil"/>
              <w:bottom w:val="nil"/>
              <w:right w:val="nil"/>
            </w:tcBorders>
            <w:shd w:val="clear" w:color="auto" w:fill="auto"/>
            <w:noWrap/>
            <w:vAlign w:val="bottom"/>
            <w:hideMark/>
          </w:tcPr>
          <w:p w14:paraId="193CB4E2" w14:textId="77777777" w:rsidR="001709D5" w:rsidRPr="001709D5" w:rsidRDefault="001709D5" w:rsidP="00695E28">
            <w:pPr>
              <w:spacing w:after="0" w:line="240" w:lineRule="auto"/>
              <w:rPr>
                <w:rFonts w:eastAsia="Times New Roman"/>
                <w:color w:val="000000"/>
                <w:sz w:val="18"/>
                <w:szCs w:val="18"/>
                <w:lang w:eastAsia="es-ES"/>
              </w:rPr>
            </w:pPr>
            <w:r w:rsidRPr="001709D5">
              <w:rPr>
                <w:rFonts w:eastAsia="Times New Roman"/>
                <w:color w:val="000000"/>
                <w:sz w:val="18"/>
                <w:szCs w:val="18"/>
                <w:lang w:eastAsia="es-ES"/>
              </w:rPr>
              <w:t>Diferencias negativas de cambio</w:t>
            </w:r>
          </w:p>
        </w:tc>
        <w:tc>
          <w:tcPr>
            <w:tcW w:w="1559" w:type="dxa"/>
            <w:tcBorders>
              <w:top w:val="nil"/>
              <w:left w:val="nil"/>
              <w:bottom w:val="nil"/>
              <w:right w:val="nil"/>
            </w:tcBorders>
            <w:shd w:val="clear" w:color="auto" w:fill="auto"/>
            <w:noWrap/>
            <w:vAlign w:val="center"/>
            <w:hideMark/>
          </w:tcPr>
          <w:p w14:paraId="48F410C7" w14:textId="77777777" w:rsidR="001709D5" w:rsidRPr="001709D5" w:rsidRDefault="001709D5" w:rsidP="00695E28">
            <w:pPr>
              <w:spacing w:after="0" w:line="240" w:lineRule="auto"/>
              <w:jc w:val="center"/>
              <w:rPr>
                <w:rFonts w:eastAsia="Times New Roman"/>
                <w:b/>
                <w:bCs/>
                <w:sz w:val="18"/>
                <w:szCs w:val="18"/>
                <w:lang w:eastAsia="es-ES"/>
              </w:rPr>
            </w:pPr>
            <w:r w:rsidRPr="001709D5">
              <w:rPr>
                <w:rFonts w:eastAsia="Times New Roman"/>
                <w:b/>
                <w:bCs/>
                <w:sz w:val="18"/>
                <w:szCs w:val="18"/>
                <w:lang w:eastAsia="es-ES"/>
              </w:rPr>
              <w:t>668</w:t>
            </w:r>
          </w:p>
        </w:tc>
        <w:tc>
          <w:tcPr>
            <w:tcW w:w="2126" w:type="dxa"/>
            <w:tcBorders>
              <w:top w:val="nil"/>
              <w:left w:val="nil"/>
              <w:bottom w:val="nil"/>
              <w:right w:val="nil"/>
            </w:tcBorders>
            <w:shd w:val="clear" w:color="auto" w:fill="auto"/>
            <w:noWrap/>
            <w:vAlign w:val="bottom"/>
            <w:hideMark/>
          </w:tcPr>
          <w:p w14:paraId="5634717E" w14:textId="77777777" w:rsidR="001709D5" w:rsidRPr="001709D5" w:rsidRDefault="001709D5" w:rsidP="00695E28">
            <w:pPr>
              <w:spacing w:after="0" w:line="240" w:lineRule="auto"/>
              <w:jc w:val="center"/>
              <w:rPr>
                <w:rFonts w:eastAsia="Times New Roman"/>
                <w:sz w:val="18"/>
                <w:szCs w:val="18"/>
                <w:lang w:eastAsia="es-ES"/>
              </w:rPr>
            </w:pPr>
            <w:r w:rsidRPr="001709D5">
              <w:rPr>
                <w:rFonts w:eastAsia="Times New Roman"/>
                <w:sz w:val="18"/>
                <w:szCs w:val="18"/>
                <w:lang w:eastAsia="es-ES"/>
              </w:rPr>
              <w:t>-</w:t>
            </w:r>
          </w:p>
        </w:tc>
      </w:tr>
      <w:tr w:rsidR="001709D5" w:rsidRPr="001709D5" w14:paraId="0F7EBBC5" w14:textId="77777777" w:rsidTr="001709D5">
        <w:trPr>
          <w:trHeight w:val="300"/>
        </w:trPr>
        <w:tc>
          <w:tcPr>
            <w:tcW w:w="5459" w:type="dxa"/>
            <w:tcBorders>
              <w:top w:val="nil"/>
              <w:left w:val="nil"/>
              <w:bottom w:val="nil"/>
              <w:right w:val="nil"/>
            </w:tcBorders>
            <w:shd w:val="clear" w:color="auto" w:fill="C00000"/>
            <w:noWrap/>
            <w:vAlign w:val="bottom"/>
            <w:hideMark/>
          </w:tcPr>
          <w:p w14:paraId="60FE6118" w14:textId="77777777" w:rsidR="001709D5" w:rsidRPr="001709D5" w:rsidRDefault="001709D5" w:rsidP="00695E28">
            <w:pPr>
              <w:spacing w:after="0" w:line="240" w:lineRule="auto"/>
              <w:rPr>
                <w:rStyle w:val="nfasissutil"/>
              </w:rPr>
            </w:pPr>
            <w:r w:rsidRPr="001709D5">
              <w:rPr>
                <w:rStyle w:val="nfasissutil"/>
              </w:rPr>
              <w:t>RESULTADO FINANCIERO</w:t>
            </w:r>
          </w:p>
        </w:tc>
        <w:tc>
          <w:tcPr>
            <w:tcW w:w="1559" w:type="dxa"/>
            <w:tcBorders>
              <w:top w:val="nil"/>
              <w:left w:val="nil"/>
              <w:bottom w:val="nil"/>
              <w:right w:val="nil"/>
            </w:tcBorders>
            <w:shd w:val="clear" w:color="auto" w:fill="C00000"/>
            <w:noWrap/>
            <w:vAlign w:val="bottom"/>
            <w:hideMark/>
          </w:tcPr>
          <w:p w14:paraId="19DFBB79" w14:textId="77777777" w:rsidR="001709D5" w:rsidRPr="001709D5" w:rsidRDefault="001709D5" w:rsidP="00695E28">
            <w:pPr>
              <w:spacing w:after="0" w:line="240" w:lineRule="auto"/>
              <w:rPr>
                <w:rStyle w:val="nfasissutil"/>
              </w:rPr>
            </w:pPr>
            <w:r w:rsidRPr="001709D5">
              <w:rPr>
                <w:rStyle w:val="nfasissutil"/>
              </w:rPr>
              <w:t> </w:t>
            </w:r>
          </w:p>
        </w:tc>
        <w:tc>
          <w:tcPr>
            <w:tcW w:w="2126" w:type="dxa"/>
            <w:tcBorders>
              <w:top w:val="nil"/>
              <w:left w:val="nil"/>
              <w:bottom w:val="nil"/>
              <w:right w:val="nil"/>
            </w:tcBorders>
            <w:shd w:val="clear" w:color="auto" w:fill="C00000"/>
            <w:noWrap/>
            <w:vAlign w:val="bottom"/>
            <w:hideMark/>
          </w:tcPr>
          <w:p w14:paraId="3727DE0F" w14:textId="77777777" w:rsidR="001709D5" w:rsidRPr="001709D5" w:rsidRDefault="001709D5" w:rsidP="00695E28">
            <w:pPr>
              <w:spacing w:after="0" w:line="240" w:lineRule="auto"/>
              <w:jc w:val="center"/>
              <w:rPr>
                <w:rStyle w:val="nfasissutil"/>
              </w:rPr>
            </w:pPr>
            <w:r w:rsidRPr="001709D5">
              <w:rPr>
                <w:rStyle w:val="nfasissutil"/>
              </w:rPr>
              <w:t>-</w:t>
            </w:r>
          </w:p>
        </w:tc>
      </w:tr>
      <w:tr w:rsidR="001709D5" w:rsidRPr="001709D5" w14:paraId="0C7DB5D9" w14:textId="77777777" w:rsidTr="00695E28">
        <w:trPr>
          <w:trHeight w:val="300"/>
        </w:trPr>
        <w:tc>
          <w:tcPr>
            <w:tcW w:w="5459" w:type="dxa"/>
            <w:tcBorders>
              <w:top w:val="nil"/>
              <w:left w:val="nil"/>
              <w:bottom w:val="nil"/>
              <w:right w:val="nil"/>
            </w:tcBorders>
            <w:shd w:val="clear" w:color="auto" w:fill="auto"/>
            <w:noWrap/>
            <w:vAlign w:val="bottom"/>
            <w:hideMark/>
          </w:tcPr>
          <w:p w14:paraId="0BF631A3" w14:textId="77777777" w:rsidR="001709D5" w:rsidRPr="001709D5" w:rsidRDefault="001709D5" w:rsidP="00695E28">
            <w:pPr>
              <w:spacing w:after="0" w:line="240" w:lineRule="auto"/>
              <w:jc w:val="center"/>
              <w:rPr>
                <w:rFonts w:eastAsia="Times New Roman"/>
                <w:b/>
                <w:bCs/>
                <w:sz w:val="18"/>
                <w:szCs w:val="18"/>
                <w:lang w:eastAsia="es-ES"/>
              </w:rPr>
            </w:pPr>
          </w:p>
        </w:tc>
        <w:tc>
          <w:tcPr>
            <w:tcW w:w="1559" w:type="dxa"/>
            <w:tcBorders>
              <w:top w:val="nil"/>
              <w:left w:val="nil"/>
              <w:bottom w:val="nil"/>
              <w:right w:val="nil"/>
            </w:tcBorders>
            <w:shd w:val="clear" w:color="auto" w:fill="auto"/>
            <w:noWrap/>
            <w:vAlign w:val="bottom"/>
            <w:hideMark/>
          </w:tcPr>
          <w:p w14:paraId="7EDAEF1C" w14:textId="77777777" w:rsidR="001709D5" w:rsidRPr="001709D5" w:rsidRDefault="001709D5" w:rsidP="00695E28">
            <w:pPr>
              <w:spacing w:after="0" w:line="240" w:lineRule="auto"/>
              <w:rPr>
                <w:rFonts w:eastAsia="Times New Roman"/>
                <w:sz w:val="18"/>
                <w:szCs w:val="18"/>
                <w:lang w:eastAsia="es-ES"/>
              </w:rPr>
            </w:pPr>
          </w:p>
        </w:tc>
        <w:tc>
          <w:tcPr>
            <w:tcW w:w="2126" w:type="dxa"/>
            <w:tcBorders>
              <w:top w:val="nil"/>
              <w:left w:val="nil"/>
              <w:bottom w:val="nil"/>
              <w:right w:val="nil"/>
            </w:tcBorders>
            <w:shd w:val="clear" w:color="auto" w:fill="auto"/>
            <w:noWrap/>
            <w:vAlign w:val="bottom"/>
            <w:hideMark/>
          </w:tcPr>
          <w:p w14:paraId="30140E84" w14:textId="77777777" w:rsidR="001709D5" w:rsidRPr="001709D5" w:rsidRDefault="001709D5" w:rsidP="00695E28">
            <w:pPr>
              <w:spacing w:after="0" w:line="240" w:lineRule="auto"/>
              <w:rPr>
                <w:rFonts w:eastAsia="Times New Roman"/>
                <w:sz w:val="18"/>
                <w:szCs w:val="18"/>
                <w:lang w:eastAsia="es-ES"/>
              </w:rPr>
            </w:pPr>
          </w:p>
        </w:tc>
      </w:tr>
      <w:tr w:rsidR="001709D5" w:rsidRPr="001709D5" w14:paraId="227428D6" w14:textId="77777777" w:rsidTr="001709D5">
        <w:trPr>
          <w:trHeight w:val="300"/>
        </w:trPr>
        <w:tc>
          <w:tcPr>
            <w:tcW w:w="5459" w:type="dxa"/>
            <w:tcBorders>
              <w:top w:val="nil"/>
              <w:left w:val="nil"/>
              <w:bottom w:val="nil"/>
              <w:right w:val="nil"/>
            </w:tcBorders>
            <w:shd w:val="clear" w:color="auto" w:fill="C00000"/>
            <w:noWrap/>
            <w:vAlign w:val="bottom"/>
            <w:hideMark/>
          </w:tcPr>
          <w:p w14:paraId="4DB5FBC8" w14:textId="77777777" w:rsidR="001709D5" w:rsidRPr="001709D5" w:rsidRDefault="001709D5" w:rsidP="00695E28">
            <w:pPr>
              <w:spacing w:after="0" w:line="240" w:lineRule="auto"/>
              <w:rPr>
                <w:rStyle w:val="nfasissutil"/>
              </w:rPr>
            </w:pPr>
            <w:r w:rsidRPr="001709D5">
              <w:rPr>
                <w:rStyle w:val="nfasissutil"/>
              </w:rPr>
              <w:t>RESULTADO DEL EJERCICIO</w:t>
            </w:r>
          </w:p>
        </w:tc>
        <w:tc>
          <w:tcPr>
            <w:tcW w:w="1559" w:type="dxa"/>
            <w:tcBorders>
              <w:top w:val="nil"/>
              <w:left w:val="nil"/>
              <w:bottom w:val="nil"/>
              <w:right w:val="nil"/>
            </w:tcBorders>
            <w:shd w:val="clear" w:color="auto" w:fill="C00000"/>
            <w:noWrap/>
            <w:vAlign w:val="bottom"/>
            <w:hideMark/>
          </w:tcPr>
          <w:p w14:paraId="5988F91A" w14:textId="77777777" w:rsidR="001709D5" w:rsidRPr="001709D5" w:rsidRDefault="001709D5" w:rsidP="00695E28">
            <w:pPr>
              <w:spacing w:after="0" w:line="240" w:lineRule="auto"/>
              <w:rPr>
                <w:rStyle w:val="nfasissutil"/>
              </w:rPr>
            </w:pPr>
            <w:r w:rsidRPr="001709D5">
              <w:rPr>
                <w:rStyle w:val="nfasissutil"/>
              </w:rPr>
              <w:t> </w:t>
            </w:r>
          </w:p>
        </w:tc>
        <w:tc>
          <w:tcPr>
            <w:tcW w:w="2126" w:type="dxa"/>
            <w:tcBorders>
              <w:top w:val="nil"/>
              <w:left w:val="nil"/>
              <w:bottom w:val="nil"/>
              <w:right w:val="nil"/>
            </w:tcBorders>
            <w:shd w:val="clear" w:color="auto" w:fill="C00000"/>
            <w:noWrap/>
            <w:vAlign w:val="bottom"/>
            <w:hideMark/>
          </w:tcPr>
          <w:p w14:paraId="76C9454A" w14:textId="61E4E5E4" w:rsidR="001709D5" w:rsidRPr="001709D5" w:rsidRDefault="00AA2DAB" w:rsidP="00695E28">
            <w:pPr>
              <w:spacing w:after="0" w:line="240" w:lineRule="auto"/>
              <w:jc w:val="center"/>
              <w:rPr>
                <w:rStyle w:val="nfasissutil"/>
              </w:rPr>
            </w:pPr>
            <w:r>
              <w:rPr>
                <w:rStyle w:val="nfasissutil"/>
              </w:rPr>
              <w:t>2.146</w:t>
            </w:r>
          </w:p>
        </w:tc>
      </w:tr>
    </w:tbl>
    <w:p w14:paraId="018D9D8F" w14:textId="77777777" w:rsidR="00177491" w:rsidRPr="00EB6871" w:rsidRDefault="00177491" w:rsidP="00084399"/>
    <w:p w14:paraId="132237A7" w14:textId="7C80F98A" w:rsidR="00177491" w:rsidRPr="00EB6871" w:rsidRDefault="00177491" w:rsidP="00084399"/>
    <w:p w14:paraId="22BDBDFD" w14:textId="77777777" w:rsidR="00177491" w:rsidRPr="00EB6871" w:rsidRDefault="00177491" w:rsidP="00E13D58">
      <w:pPr>
        <w:pStyle w:val="Ttulo2"/>
      </w:pPr>
      <w:bookmarkStart w:id="15" w:name="_Toc85297122"/>
      <w:r w:rsidRPr="00EB6871">
        <w:lastRenderedPageBreak/>
        <w:t>5.1. Digital Future Society</w:t>
      </w:r>
      <w:bookmarkEnd w:id="15"/>
    </w:p>
    <w:p w14:paraId="642E4EDA" w14:textId="77777777" w:rsidR="00177491" w:rsidRPr="00EB6871" w:rsidRDefault="00177491" w:rsidP="00084399"/>
    <w:tbl>
      <w:tblPr>
        <w:tblpPr w:leftFromText="141" w:rightFromText="141" w:vertAnchor="page" w:horzAnchor="page" w:tblpX="2479" w:tblpY="2329"/>
        <w:tblW w:w="5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2865"/>
      </w:tblGrid>
      <w:tr w:rsidR="001709D5" w:rsidRPr="00EB6871" w14:paraId="188F4308" w14:textId="77777777" w:rsidTr="001709D5">
        <w:trPr>
          <w:trHeight w:val="300"/>
        </w:trPr>
        <w:tc>
          <w:tcPr>
            <w:tcW w:w="5835" w:type="dxa"/>
            <w:gridSpan w:val="2"/>
            <w:tcBorders>
              <w:top w:val="single" w:sz="6" w:space="0" w:color="FFFFFF"/>
              <w:left w:val="single" w:sz="6" w:space="0" w:color="FFFFFF"/>
              <w:bottom w:val="single" w:sz="24" w:space="0" w:color="FFFFFF"/>
              <w:right w:val="single" w:sz="6" w:space="0" w:color="FFFFFF"/>
            </w:tcBorders>
            <w:shd w:val="clear" w:color="auto" w:fill="C00000"/>
            <w:hideMark/>
          </w:tcPr>
          <w:p w14:paraId="749F265A" w14:textId="77777777" w:rsidR="001709D5" w:rsidRPr="007027B8" w:rsidRDefault="001709D5" w:rsidP="001709D5">
            <w:pPr>
              <w:jc w:val="center"/>
              <w:rPr>
                <w:rStyle w:val="nfasissutil"/>
                <w:sz w:val="16"/>
                <w:szCs w:val="16"/>
              </w:rPr>
            </w:pPr>
            <w:r w:rsidRPr="007027B8">
              <w:rPr>
                <w:rStyle w:val="nfasissutil"/>
                <w:color w:val="FFFFFF" w:themeColor="background1"/>
                <w:sz w:val="16"/>
                <w:szCs w:val="16"/>
              </w:rPr>
              <w:t>DIGITAL FUTURE SOCIETY</w:t>
            </w:r>
          </w:p>
        </w:tc>
      </w:tr>
      <w:tr w:rsidR="001709D5" w:rsidRPr="00EB6871" w14:paraId="494F5095" w14:textId="77777777" w:rsidTr="001709D5">
        <w:trPr>
          <w:trHeight w:val="300"/>
        </w:trPr>
        <w:tc>
          <w:tcPr>
            <w:tcW w:w="2970" w:type="dxa"/>
            <w:tcBorders>
              <w:top w:val="single" w:sz="24" w:space="0" w:color="FFFFFF"/>
              <w:left w:val="single" w:sz="6" w:space="0" w:color="FFFFFF"/>
              <w:bottom w:val="single" w:sz="6" w:space="0" w:color="FFFFFF"/>
              <w:right w:val="single" w:sz="6" w:space="0" w:color="FFFFFF"/>
            </w:tcBorders>
            <w:shd w:val="clear" w:color="auto" w:fill="D9D9D9"/>
            <w:hideMark/>
          </w:tcPr>
          <w:p w14:paraId="4B0B58F5" w14:textId="77777777" w:rsidR="001709D5" w:rsidRPr="00EB6871" w:rsidRDefault="001709D5" w:rsidP="001709D5">
            <w:pPr>
              <w:rPr>
                <w:rFonts w:cs="Segoe UI"/>
              </w:rPr>
            </w:pPr>
            <w:r w:rsidRPr="00EB6871">
              <w:t>Ingresos actividades </w:t>
            </w:r>
          </w:p>
        </w:tc>
        <w:tc>
          <w:tcPr>
            <w:tcW w:w="2865" w:type="dxa"/>
            <w:tcBorders>
              <w:top w:val="single" w:sz="24" w:space="0" w:color="FFFFFF"/>
              <w:left w:val="single" w:sz="6" w:space="0" w:color="FFFFFF"/>
              <w:bottom w:val="single" w:sz="6" w:space="0" w:color="FFFFFF"/>
              <w:right w:val="single" w:sz="6" w:space="0" w:color="FFFFFF"/>
            </w:tcBorders>
            <w:shd w:val="clear" w:color="auto" w:fill="D9D9D9"/>
            <w:hideMark/>
          </w:tcPr>
          <w:p w14:paraId="0D607AAF" w14:textId="18B7D158" w:rsidR="001709D5" w:rsidRPr="00EB6871" w:rsidRDefault="001709D5" w:rsidP="001709D5">
            <w:pPr>
              <w:rPr>
                <w:rFonts w:cs="Segoe UI"/>
              </w:rPr>
            </w:pPr>
            <w:r w:rsidRPr="00EB6871">
              <w:t>1.</w:t>
            </w:r>
            <w:r w:rsidR="00E90F8A">
              <w:t>717</w:t>
            </w:r>
            <w:r w:rsidRPr="00EB6871">
              <w:t xml:space="preserve"> k€ </w:t>
            </w:r>
          </w:p>
        </w:tc>
      </w:tr>
      <w:tr w:rsidR="001709D5" w:rsidRPr="00EB6871" w14:paraId="4573EE4E" w14:textId="77777777" w:rsidTr="001709D5">
        <w:trPr>
          <w:trHeight w:val="300"/>
        </w:trPr>
        <w:tc>
          <w:tcPr>
            <w:tcW w:w="2970" w:type="dxa"/>
            <w:tcBorders>
              <w:top w:val="single" w:sz="6" w:space="0" w:color="FFFFFF"/>
              <w:left w:val="single" w:sz="6" w:space="0" w:color="FFFFFF"/>
              <w:bottom w:val="single" w:sz="6" w:space="0" w:color="FFFFFF"/>
              <w:right w:val="single" w:sz="6" w:space="0" w:color="FFFFFF"/>
            </w:tcBorders>
            <w:shd w:val="clear" w:color="auto" w:fill="D9D9D9"/>
            <w:hideMark/>
          </w:tcPr>
          <w:p w14:paraId="02D34923" w14:textId="77777777" w:rsidR="001709D5" w:rsidRPr="00EB6871" w:rsidRDefault="001709D5" w:rsidP="001709D5">
            <w:pPr>
              <w:rPr>
                <w:rFonts w:cs="Segoe UI"/>
              </w:rPr>
            </w:pPr>
            <w:r w:rsidRPr="00EB6871">
              <w:t>Gastos actividades </w:t>
            </w:r>
          </w:p>
        </w:tc>
        <w:tc>
          <w:tcPr>
            <w:tcW w:w="2865" w:type="dxa"/>
            <w:tcBorders>
              <w:top w:val="single" w:sz="6" w:space="0" w:color="FFFFFF"/>
              <w:left w:val="single" w:sz="6" w:space="0" w:color="FFFFFF"/>
              <w:bottom w:val="single" w:sz="6" w:space="0" w:color="FFFFFF"/>
              <w:right w:val="single" w:sz="6" w:space="0" w:color="FFFFFF"/>
            </w:tcBorders>
            <w:shd w:val="clear" w:color="auto" w:fill="D9D9D9"/>
            <w:hideMark/>
          </w:tcPr>
          <w:p w14:paraId="7EA9717E" w14:textId="1AD6CFE7" w:rsidR="001709D5" w:rsidRPr="00EB6871" w:rsidRDefault="001709D5" w:rsidP="001709D5">
            <w:pPr>
              <w:rPr>
                <w:rFonts w:cs="Segoe UI"/>
              </w:rPr>
            </w:pPr>
            <w:r w:rsidRPr="00EB6871">
              <w:t>-</w:t>
            </w:r>
            <w:r w:rsidR="00AF16E2">
              <w:t>2.</w:t>
            </w:r>
            <w:r w:rsidR="009113E6">
              <w:t>264</w:t>
            </w:r>
            <w:r w:rsidRPr="00EB6871">
              <w:t> k€ </w:t>
            </w:r>
          </w:p>
        </w:tc>
      </w:tr>
    </w:tbl>
    <w:p w14:paraId="097CD00A" w14:textId="77777777" w:rsidR="00ED24FF" w:rsidRPr="00EB6871" w:rsidRDefault="00ED24FF" w:rsidP="00084399">
      <w:pPr>
        <w:rPr>
          <w:lang w:eastAsia="es-ES"/>
        </w:rPr>
      </w:pPr>
    </w:p>
    <w:p w14:paraId="04A78AB1" w14:textId="77777777" w:rsidR="00ED24FF" w:rsidRPr="00EB6871" w:rsidRDefault="00ED24FF" w:rsidP="00084399">
      <w:pPr>
        <w:rPr>
          <w:lang w:eastAsia="es-ES"/>
        </w:rPr>
      </w:pPr>
    </w:p>
    <w:p w14:paraId="1C23023D" w14:textId="77777777" w:rsidR="009109DE" w:rsidRDefault="009109DE" w:rsidP="009109DE"/>
    <w:p w14:paraId="73159385" w14:textId="2B6350E4" w:rsidR="00B240BA" w:rsidRPr="009109DE" w:rsidRDefault="00B240BA" w:rsidP="009109DE">
      <w:pPr>
        <w:jc w:val="center"/>
        <w:rPr>
          <w:sz w:val="14"/>
          <w:szCs w:val="14"/>
        </w:rPr>
      </w:pPr>
      <w:r w:rsidRPr="009109DE">
        <w:rPr>
          <w:sz w:val="14"/>
          <w:szCs w:val="14"/>
        </w:rPr>
        <w:t>* Sin tener en cuenta costes de personal</w:t>
      </w:r>
    </w:p>
    <w:p w14:paraId="3BC343D0" w14:textId="428D61BE" w:rsidR="00177491" w:rsidRPr="00EB6871" w:rsidRDefault="00177491" w:rsidP="00FA1E85">
      <w:pPr>
        <w:jc w:val="left"/>
      </w:pPr>
      <w:r w:rsidRPr="00EB6871">
        <w:t xml:space="preserve">Digital Future Society es un programa global promovido por la </w:t>
      </w:r>
      <w:r w:rsidR="001709D5" w:rsidRPr="00EB6871">
        <w:t>Vicepresiden</w:t>
      </w:r>
      <w:r w:rsidR="001709D5">
        <w:t>cia</w:t>
      </w:r>
      <w:r w:rsidR="001709D5" w:rsidRPr="00EB6871">
        <w:t xml:space="preserve"> </w:t>
      </w:r>
      <w:r w:rsidRPr="00EB6871">
        <w:t xml:space="preserve">Tercera del Gobierno </w:t>
      </w:r>
      <w:r w:rsidR="001709D5">
        <w:t xml:space="preserve">de España </w:t>
      </w:r>
      <w:r w:rsidRPr="00EB6871">
        <w:t xml:space="preserve">- Ministerio de Asuntos Económicos y Transformación Digital en colaboración con Mobile World Capital </w:t>
      </w:r>
      <w:r w:rsidR="001709D5">
        <w:t xml:space="preserve">Barcelona </w:t>
      </w:r>
      <w:r w:rsidRPr="00EB6871">
        <w:t>y Red.es que persigue construir un futuro más justo, sostenible e inclusivo en la era digital para mejorar el impacto de la tecnología en la sociedad.</w:t>
      </w:r>
    </w:p>
    <w:p w14:paraId="67B3A007" w14:textId="331D2CF1" w:rsidR="00177491" w:rsidRPr="00EB6871" w:rsidRDefault="00177491" w:rsidP="00FA1E85">
      <w:pPr>
        <w:jc w:val="left"/>
      </w:pPr>
      <w:r w:rsidRPr="00EB6871">
        <w:t>Con este objetivo, conecta instituciones, corporaciones, organizaciones cívicas y</w:t>
      </w:r>
      <w:r w:rsidR="00ED24FF" w:rsidRPr="00EB6871">
        <w:t xml:space="preserve"> </w:t>
      </w:r>
      <w:r w:rsidRPr="00EB6871">
        <w:t>academia, para generar debate, compartir conocimiento, crear soluciones para</w:t>
      </w:r>
      <w:r w:rsidR="00ED24FF" w:rsidRPr="00EB6871">
        <w:t xml:space="preserve"> </w:t>
      </w:r>
      <w:r w:rsidRPr="00EB6871">
        <w:t>los desafíos que presenta el avance digital y acercarlas a la ciudadanía. Digital</w:t>
      </w:r>
      <w:r w:rsidR="00ED24FF" w:rsidRPr="00EB6871">
        <w:t xml:space="preserve"> </w:t>
      </w:r>
      <w:r w:rsidRPr="00EB6871">
        <w:t>Future Society trabaja en cuatro verticales: innovación pública; confianza y</w:t>
      </w:r>
      <w:r w:rsidR="00ED24FF" w:rsidRPr="00EB6871">
        <w:t xml:space="preserve"> </w:t>
      </w:r>
      <w:r w:rsidRPr="00EB6871">
        <w:t>seguridad digital; crecimiento equitativo; e inclusión y empoderamiento</w:t>
      </w:r>
      <w:r w:rsidR="00ED24FF" w:rsidRPr="00EB6871">
        <w:t xml:space="preserve"> </w:t>
      </w:r>
      <w:r w:rsidRPr="00EB6871">
        <w:t>ciudadano.</w:t>
      </w:r>
    </w:p>
    <w:p w14:paraId="4469B052" w14:textId="44EB8632" w:rsidR="00177491" w:rsidRPr="00EB6871" w:rsidRDefault="00177491" w:rsidP="00FA1E85">
      <w:pPr>
        <w:jc w:val="left"/>
      </w:pPr>
      <w:r w:rsidRPr="00EB6871">
        <w:t>Digital Future Society dispone de un Think Tank, donde se lleva a cabo</w:t>
      </w:r>
      <w:r w:rsidR="00ED24FF" w:rsidRPr="00EB6871">
        <w:t xml:space="preserve"> </w:t>
      </w:r>
      <w:r w:rsidRPr="00EB6871">
        <w:t>investigación orientada a la acción, y promueve el diálogo e intercambio de</w:t>
      </w:r>
      <w:r w:rsidR="00ED24FF" w:rsidRPr="00EB6871">
        <w:t xml:space="preserve"> </w:t>
      </w:r>
      <w:r w:rsidRPr="00EB6871">
        <w:t>conocimiento sobre los desafíos éticos, legales y de inclusión derivados de la</w:t>
      </w:r>
      <w:r w:rsidR="00ED24FF" w:rsidRPr="00EB6871">
        <w:t xml:space="preserve"> </w:t>
      </w:r>
      <w:r w:rsidRPr="00EB6871">
        <w:t>transformación digital. Las recomendaciones del Think Tank se validan mediante</w:t>
      </w:r>
      <w:r w:rsidR="00ED24FF" w:rsidRPr="00EB6871">
        <w:t xml:space="preserve"> </w:t>
      </w:r>
      <w:r w:rsidRPr="00EB6871">
        <w:t>el laboratorio (DFS Lab) que identifica y testea las soluciones para los retos</w:t>
      </w:r>
      <w:r w:rsidR="00ED24FF" w:rsidRPr="00EB6871">
        <w:t xml:space="preserve"> </w:t>
      </w:r>
      <w:r w:rsidRPr="00EB6871">
        <w:t>definidos en los cuatro verticales anteriormente mencionadas. A través del</w:t>
      </w:r>
      <w:r w:rsidR="00ED24FF" w:rsidRPr="00EB6871">
        <w:t xml:space="preserve"> </w:t>
      </w:r>
      <w:r w:rsidRPr="00EB6871">
        <w:t>enfoque colaborativo, DFS Lab permite la conexión entre actores globales y</w:t>
      </w:r>
      <w:r w:rsidR="00ED24FF" w:rsidRPr="00EB6871">
        <w:t xml:space="preserve"> </w:t>
      </w:r>
      <w:r w:rsidRPr="00EB6871">
        <w:t>locales que abordan problemas similares para identificar, compartir y escalar las</w:t>
      </w:r>
      <w:r w:rsidR="00ED24FF" w:rsidRPr="00EB6871">
        <w:t xml:space="preserve"> </w:t>
      </w:r>
      <w:r w:rsidRPr="00EB6871">
        <w:t xml:space="preserve">mejores soluciones. </w:t>
      </w:r>
    </w:p>
    <w:p w14:paraId="5BC90377" w14:textId="54AADECD" w:rsidR="00177491" w:rsidRPr="00EB6871" w:rsidRDefault="00177491" w:rsidP="00FA1E85">
      <w:pPr>
        <w:jc w:val="left"/>
      </w:pPr>
      <w:r w:rsidRPr="00EB6871">
        <w:t>Por último, y con el objetivo de acercar la tecnología a la ciudadanía, Digital</w:t>
      </w:r>
      <w:r w:rsidR="00ED24FF" w:rsidRPr="00EB6871">
        <w:t xml:space="preserve"> </w:t>
      </w:r>
      <w:r w:rsidRPr="00EB6871">
        <w:t>Future Society despliega anualmente una semana de actividades, la Mobile Week, con talleres, conferencias, mesas redondas etc. dirigidas al ciudadano de a pie.</w:t>
      </w:r>
    </w:p>
    <w:p w14:paraId="4996C312" w14:textId="2A72EE3D" w:rsidR="00177491" w:rsidRPr="00EB6871" w:rsidRDefault="00177491" w:rsidP="00FA1E85">
      <w:pPr>
        <w:jc w:val="left"/>
      </w:pPr>
      <w:r w:rsidRPr="00EB6871">
        <w:t>Los recursos económicos que se necesitarán para realizar las actividades en 202</w:t>
      </w:r>
      <w:r w:rsidR="005E6A42">
        <w:t>2</w:t>
      </w:r>
      <w:r w:rsidRPr="00EB6871">
        <w:t xml:space="preserve"> son de 2.</w:t>
      </w:r>
      <w:r w:rsidR="009113E6">
        <w:t>263</w:t>
      </w:r>
      <w:r w:rsidRPr="00EB6871">
        <w:t xml:space="preserve"> k€ que incluye un</w:t>
      </w:r>
      <w:r w:rsidR="003016FD">
        <w:t xml:space="preserve"> Global Summit </w:t>
      </w:r>
      <w:r w:rsidRPr="00EB6871">
        <w:t>que se celebrará en Barcelona previsiblemente en el segundo trimestre de 2021</w:t>
      </w:r>
      <w:r w:rsidR="003016FD">
        <w:t>2.</w:t>
      </w:r>
      <w:r w:rsidR="00DE0929">
        <w:t xml:space="preserve"> </w:t>
      </w:r>
      <w:r w:rsidRPr="00EB6871">
        <w:t xml:space="preserve">Parte del coste está sufragado por unos ingresos en forma de subvención por parte del Ministerio de Asuntos Económicos y Transformación Digital de </w:t>
      </w:r>
      <w:r w:rsidR="00DE0929">
        <w:t>991</w:t>
      </w:r>
      <w:r w:rsidRPr="00EB6871">
        <w:t xml:space="preserve"> k€</w:t>
      </w:r>
      <w:r w:rsidR="00DE0929">
        <w:t xml:space="preserve">, de donaciones, patrocinios y </w:t>
      </w:r>
      <w:r w:rsidR="00607576">
        <w:t>subvenciones por parte de l’Ajuntament de Barcelona i de l’Hospitalet.</w:t>
      </w:r>
    </w:p>
    <w:p w14:paraId="17BCFCAC" w14:textId="77777777" w:rsidR="00904580" w:rsidRPr="00EB6871" w:rsidRDefault="00177491" w:rsidP="00FA1E85">
      <w:pPr>
        <w:jc w:val="left"/>
      </w:pPr>
      <w:r w:rsidRPr="00EB6871">
        <w:t>Este programa estará basado en tres ejes:</w:t>
      </w:r>
    </w:p>
    <w:p w14:paraId="1594D181" w14:textId="77777777" w:rsidR="00904580" w:rsidRPr="00EB6871" w:rsidRDefault="00177491" w:rsidP="00FA1E85">
      <w:pPr>
        <w:pStyle w:val="Prrafodelista"/>
        <w:numPr>
          <w:ilvl w:val="0"/>
          <w:numId w:val="5"/>
        </w:numPr>
        <w:jc w:val="left"/>
      </w:pPr>
      <w:r w:rsidRPr="003B086D">
        <w:rPr>
          <w:rStyle w:val="nfasissutil"/>
        </w:rPr>
        <w:t>Investigación “Think Tank”:</w:t>
      </w:r>
      <w:r w:rsidRPr="00EB6871">
        <w:t xml:space="preserve"> Iniciativa de carácter global que analiza, investiga y genera conocimiento sobre los efectos derivados de la configuración, el uso y la gobernanza de la tecnología. Esta iniciativa reúne a expertos internacionales clave que ya están trabajando para solucionar este tipo de retos</w:t>
      </w:r>
      <w:r w:rsidR="00904580" w:rsidRPr="00EB6871">
        <w:t>.</w:t>
      </w:r>
    </w:p>
    <w:p w14:paraId="75A62DC4" w14:textId="5A375216" w:rsidR="00177491" w:rsidRPr="00EB6871" w:rsidRDefault="00177491" w:rsidP="00FA1E85">
      <w:pPr>
        <w:pStyle w:val="Prrafodelista"/>
        <w:jc w:val="left"/>
      </w:pPr>
      <w:r w:rsidRPr="00EB6871">
        <w:t xml:space="preserve">Para este eje del programa se ha dispuesto una partida de </w:t>
      </w:r>
      <w:r w:rsidR="008D6D89">
        <w:t>110</w:t>
      </w:r>
      <w:r w:rsidRPr="00EB6871">
        <w:t xml:space="preserve"> k€ destinados a:</w:t>
      </w:r>
    </w:p>
    <w:p w14:paraId="2F204EFE" w14:textId="77777777" w:rsidR="00904580" w:rsidRPr="00EB6871" w:rsidRDefault="00904580" w:rsidP="000F4DB7">
      <w:pPr>
        <w:pStyle w:val="Prrafodelista"/>
        <w:jc w:val="left"/>
      </w:pPr>
    </w:p>
    <w:p w14:paraId="79A37F8A" w14:textId="77777777" w:rsidR="00912F24" w:rsidRPr="00EB6871" w:rsidRDefault="00912F24" w:rsidP="00912F24">
      <w:pPr>
        <w:pStyle w:val="Prrafodelista"/>
        <w:numPr>
          <w:ilvl w:val="0"/>
          <w:numId w:val="6"/>
        </w:numPr>
        <w:jc w:val="left"/>
      </w:pPr>
      <w:r w:rsidRPr="00EB6871">
        <w:t>Contenido (</w:t>
      </w:r>
      <w:r>
        <w:t>64</w:t>
      </w:r>
      <w:r w:rsidRPr="00EB6871">
        <w:t xml:space="preserve"> k €)</w:t>
      </w:r>
    </w:p>
    <w:p w14:paraId="51BE4D87" w14:textId="6BE64A0A" w:rsidR="00177491" w:rsidRPr="00EB6871" w:rsidRDefault="00177491" w:rsidP="000F4DB7">
      <w:pPr>
        <w:pStyle w:val="Prrafodelista"/>
        <w:numPr>
          <w:ilvl w:val="0"/>
          <w:numId w:val="6"/>
        </w:numPr>
        <w:jc w:val="left"/>
      </w:pPr>
      <w:r w:rsidRPr="00EB6871">
        <w:t>Alquiler espacios (</w:t>
      </w:r>
      <w:r w:rsidR="008D6D89">
        <w:t>5</w:t>
      </w:r>
      <w:r w:rsidRPr="00EB6871">
        <w:t xml:space="preserve"> k€)</w:t>
      </w:r>
    </w:p>
    <w:p w14:paraId="00F8370F" w14:textId="6022BB4F" w:rsidR="00177491" w:rsidRPr="00EB6871" w:rsidRDefault="00177491" w:rsidP="000F4DB7">
      <w:pPr>
        <w:pStyle w:val="Prrafodelista"/>
        <w:numPr>
          <w:ilvl w:val="0"/>
          <w:numId w:val="6"/>
        </w:numPr>
        <w:jc w:val="left"/>
      </w:pPr>
      <w:r w:rsidRPr="00EB6871">
        <w:t>Consultoría (</w:t>
      </w:r>
      <w:r w:rsidR="008D6D89">
        <w:t>33,5</w:t>
      </w:r>
      <w:r w:rsidRPr="00EB6871">
        <w:t xml:space="preserve"> k€)</w:t>
      </w:r>
    </w:p>
    <w:p w14:paraId="3597FCCC" w14:textId="681D054C" w:rsidR="00177491" w:rsidRPr="00EB6871" w:rsidRDefault="00912F24" w:rsidP="000F4DB7">
      <w:pPr>
        <w:pStyle w:val="Prrafodelista"/>
        <w:numPr>
          <w:ilvl w:val="0"/>
          <w:numId w:val="6"/>
        </w:numPr>
        <w:jc w:val="left"/>
      </w:pPr>
      <w:r>
        <w:t xml:space="preserve">Producción de eventos </w:t>
      </w:r>
      <w:r w:rsidR="00177491" w:rsidRPr="00EB6871">
        <w:t xml:space="preserve"> (</w:t>
      </w:r>
      <w:r>
        <w:t>5</w:t>
      </w:r>
      <w:r w:rsidR="00177491" w:rsidRPr="00EB6871">
        <w:t xml:space="preserve"> k €)</w:t>
      </w:r>
    </w:p>
    <w:p w14:paraId="22C9DF39" w14:textId="05EE21D7" w:rsidR="00177491" w:rsidRDefault="008D6D89" w:rsidP="000F4DB7">
      <w:pPr>
        <w:pStyle w:val="Prrafodelista"/>
        <w:numPr>
          <w:ilvl w:val="0"/>
          <w:numId w:val="6"/>
        </w:numPr>
        <w:jc w:val="left"/>
      </w:pPr>
      <w:r>
        <w:t>Materiales de marketing fisico</w:t>
      </w:r>
      <w:r w:rsidR="00177491" w:rsidRPr="00EB6871">
        <w:t>: (</w:t>
      </w:r>
      <w:r w:rsidR="00912F24">
        <w:t>2,7</w:t>
      </w:r>
      <w:r w:rsidR="00177491" w:rsidRPr="00EB6871">
        <w:t xml:space="preserve"> k€)</w:t>
      </w:r>
    </w:p>
    <w:p w14:paraId="08906537" w14:textId="77777777" w:rsidR="00EE500F" w:rsidRPr="00EB6871" w:rsidRDefault="00EE500F" w:rsidP="009109DE">
      <w:pPr>
        <w:pStyle w:val="Prrafodelista"/>
        <w:ind w:left="1080"/>
      </w:pPr>
    </w:p>
    <w:p w14:paraId="791F43EA" w14:textId="77777777" w:rsidR="00904580" w:rsidRPr="00EB6871" w:rsidRDefault="00177491" w:rsidP="00FA1E85">
      <w:pPr>
        <w:pStyle w:val="Prrafodelista"/>
        <w:numPr>
          <w:ilvl w:val="0"/>
          <w:numId w:val="5"/>
        </w:numPr>
        <w:jc w:val="left"/>
      </w:pPr>
      <w:r w:rsidRPr="003B086D">
        <w:rPr>
          <w:rStyle w:val="nfasissutil"/>
        </w:rPr>
        <w:t>Digital Future Society Lab:</w:t>
      </w:r>
      <w:r w:rsidRPr="00EB6871">
        <w:t xml:space="preserve"> Valida las recomendaciones de Think Tank e identifica y testea las soluciones para los retos definidos en los cuatro verticales principales de programa: futuro del trabajo, tecnología y emergencia climática, servicios públicos inclusivos, gobernanza de datos.</w:t>
      </w:r>
    </w:p>
    <w:p w14:paraId="48542FBC" w14:textId="77777777" w:rsidR="00EE500F" w:rsidRDefault="00EE500F" w:rsidP="00FA1E85">
      <w:pPr>
        <w:pStyle w:val="Prrafodelista"/>
        <w:jc w:val="left"/>
      </w:pPr>
    </w:p>
    <w:p w14:paraId="7780FC01" w14:textId="15C87E44" w:rsidR="00177491" w:rsidRPr="00EB6871" w:rsidRDefault="00177491" w:rsidP="00FA1E85">
      <w:pPr>
        <w:pStyle w:val="Prrafodelista"/>
        <w:jc w:val="left"/>
      </w:pPr>
      <w:r w:rsidRPr="00EB6871">
        <w:t xml:space="preserve">Para este eje del programa se ha dispuesto una partida de </w:t>
      </w:r>
      <w:r w:rsidR="00743124">
        <w:t>143,5</w:t>
      </w:r>
      <w:r w:rsidRPr="00EB6871">
        <w:t xml:space="preserve"> k€ destinados a:</w:t>
      </w:r>
    </w:p>
    <w:p w14:paraId="1555D930" w14:textId="4F3DB8A7" w:rsidR="00177491" w:rsidRPr="00EB6871" w:rsidRDefault="00743124" w:rsidP="00FA1E85">
      <w:pPr>
        <w:pStyle w:val="Prrafodelista"/>
        <w:numPr>
          <w:ilvl w:val="0"/>
          <w:numId w:val="6"/>
        </w:numPr>
        <w:jc w:val="left"/>
      </w:pPr>
      <w:r>
        <w:t>Acuerdos de colaboración</w:t>
      </w:r>
      <w:r w:rsidR="00177491" w:rsidRPr="00EB6871">
        <w:t xml:space="preserve"> (</w:t>
      </w:r>
      <w:r>
        <w:t>64,5</w:t>
      </w:r>
      <w:r w:rsidR="00177491" w:rsidRPr="00EB6871">
        <w:t>k€)</w:t>
      </w:r>
    </w:p>
    <w:p w14:paraId="2A721998" w14:textId="41B679E9" w:rsidR="00904580" w:rsidRPr="00EB6871" w:rsidRDefault="00177491" w:rsidP="00FA1E85">
      <w:pPr>
        <w:pStyle w:val="Prrafodelista"/>
        <w:numPr>
          <w:ilvl w:val="0"/>
          <w:numId w:val="6"/>
        </w:numPr>
        <w:jc w:val="left"/>
      </w:pPr>
      <w:r w:rsidRPr="00EB6871">
        <w:t>Contenido y reporting (</w:t>
      </w:r>
      <w:r w:rsidR="00743124">
        <w:t>45</w:t>
      </w:r>
      <w:r w:rsidRPr="00EB6871">
        <w:t xml:space="preserve"> k€)</w:t>
      </w:r>
    </w:p>
    <w:p w14:paraId="3573CFDB" w14:textId="721875D9" w:rsidR="00904580" w:rsidRDefault="00177491" w:rsidP="00FA1E85">
      <w:pPr>
        <w:pStyle w:val="Prrafodelista"/>
        <w:numPr>
          <w:ilvl w:val="0"/>
          <w:numId w:val="6"/>
        </w:numPr>
        <w:jc w:val="left"/>
      </w:pPr>
      <w:r w:rsidRPr="00EB6871">
        <w:t>Consultoría: (</w:t>
      </w:r>
      <w:r w:rsidR="00743124">
        <w:t>26</w:t>
      </w:r>
      <w:r w:rsidRPr="00EB6871">
        <w:t xml:space="preserve"> k€)</w:t>
      </w:r>
    </w:p>
    <w:p w14:paraId="2F6DF4CD" w14:textId="6D166B5C" w:rsidR="00074C9A" w:rsidRPr="00EB6871" w:rsidRDefault="00074C9A" w:rsidP="00FA1E85">
      <w:pPr>
        <w:pStyle w:val="Prrafodelista"/>
        <w:numPr>
          <w:ilvl w:val="0"/>
          <w:numId w:val="6"/>
        </w:numPr>
        <w:jc w:val="left"/>
      </w:pPr>
      <w:r>
        <w:t>Estudios e informes (6 k€)</w:t>
      </w:r>
    </w:p>
    <w:p w14:paraId="167796C0" w14:textId="4187BD56" w:rsidR="00177491" w:rsidRPr="00EB6871" w:rsidRDefault="00743124" w:rsidP="00FA1E85">
      <w:pPr>
        <w:pStyle w:val="Prrafodelista"/>
        <w:numPr>
          <w:ilvl w:val="0"/>
          <w:numId w:val="6"/>
        </w:numPr>
        <w:jc w:val="left"/>
      </w:pPr>
      <w:r>
        <w:t>Traducciones</w:t>
      </w:r>
      <w:r w:rsidR="00177491" w:rsidRPr="00EB6871">
        <w:t>: (</w:t>
      </w:r>
      <w:r>
        <w:t>2</w:t>
      </w:r>
      <w:r w:rsidR="00177491" w:rsidRPr="00EB6871">
        <w:t xml:space="preserve"> k€)</w:t>
      </w:r>
    </w:p>
    <w:p w14:paraId="7A7FA990" w14:textId="77777777" w:rsidR="00177491" w:rsidRPr="00EB6871" w:rsidRDefault="00177491" w:rsidP="00FA1E85">
      <w:pPr>
        <w:jc w:val="left"/>
      </w:pPr>
    </w:p>
    <w:p w14:paraId="58654C1E" w14:textId="335DB4A9" w:rsidR="00040D5D" w:rsidRDefault="00177491" w:rsidP="00CF7E3C">
      <w:pPr>
        <w:pStyle w:val="Prrafodelista"/>
        <w:numPr>
          <w:ilvl w:val="0"/>
          <w:numId w:val="5"/>
        </w:numPr>
        <w:jc w:val="left"/>
      </w:pPr>
      <w:r w:rsidRPr="003B086D">
        <w:rPr>
          <w:rStyle w:val="nfasissutil"/>
        </w:rPr>
        <w:t>Empoderamiento</w:t>
      </w:r>
      <w:r w:rsidR="001709D5" w:rsidRPr="003B086D">
        <w:rPr>
          <w:rStyle w:val="nfasissutil"/>
        </w:rPr>
        <w:t xml:space="preserve"> </w:t>
      </w:r>
      <w:r w:rsidRPr="003B086D">
        <w:rPr>
          <w:rStyle w:val="nfasissutil"/>
        </w:rPr>
        <w:t>“Summit”/Eventos:</w:t>
      </w:r>
      <w:r w:rsidRPr="00EB6871">
        <w:t xml:space="preserve"> encuentros en los que compartir conocimientos, experiencias y herramientas que sirvan para inspirar a la ciudadanía y abordar los retos que plantea la digitalización.</w:t>
      </w:r>
    </w:p>
    <w:p w14:paraId="2CE88000" w14:textId="77777777" w:rsidR="00CF7E3C" w:rsidRPr="00EB6871" w:rsidRDefault="00CF7E3C" w:rsidP="00CF7E3C">
      <w:pPr>
        <w:pStyle w:val="Prrafodelista"/>
        <w:jc w:val="left"/>
      </w:pPr>
    </w:p>
    <w:p w14:paraId="2693B7D3" w14:textId="0E88358F" w:rsidR="007F6173" w:rsidRPr="00EB6871" w:rsidRDefault="00177491" w:rsidP="007F6173">
      <w:pPr>
        <w:pStyle w:val="Prrafodelista"/>
        <w:numPr>
          <w:ilvl w:val="0"/>
          <w:numId w:val="7"/>
        </w:numPr>
        <w:jc w:val="left"/>
      </w:pPr>
      <w:r w:rsidRPr="003B086D">
        <w:rPr>
          <w:rStyle w:val="nfasissutil"/>
        </w:rPr>
        <w:t>Mobile Week:</w:t>
      </w:r>
      <w:r w:rsidRPr="00EB6871">
        <w:t xml:space="preserve"> Evento</w:t>
      </w:r>
      <w:r w:rsidR="00CF7E3C">
        <w:t>s</w:t>
      </w:r>
      <w:r w:rsidRPr="00EB6871">
        <w:t xml:space="preserve"> que reflexiona</w:t>
      </w:r>
      <w:r w:rsidR="00CF7E3C">
        <w:t>n</w:t>
      </w:r>
      <w:r w:rsidRPr="00EB6871">
        <w:t xml:space="preserve"> sobre el impacto de la transformación digital conectando toda la ciudad a través de charlas, muestras, talleres y recorridos relacionados con el arte, la ciencia y la tecnología. </w:t>
      </w:r>
      <w:r w:rsidR="00CC2819" w:rsidRPr="00CC2819">
        <w:t>Esta partida está divida en 2 partes, por un lado</w:t>
      </w:r>
      <w:r w:rsidR="00CC2819">
        <w:t>,</w:t>
      </w:r>
      <w:r w:rsidR="00CC2819" w:rsidRPr="00CC2819">
        <w:t> la Mobile Week Barcelona y por otro la Mobile Week fuera</w:t>
      </w:r>
      <w:r w:rsidR="00CC2819">
        <w:t xml:space="preserve"> </w:t>
      </w:r>
      <w:r w:rsidR="00CC2819" w:rsidRPr="00CC2819">
        <w:t>de Barcelona (incluyendo Cataluña y el resto de España). Está dotada de un presupuesto de </w:t>
      </w:r>
      <w:r w:rsidR="007A4559">
        <w:t>308</w:t>
      </w:r>
      <w:r w:rsidR="00CC2819" w:rsidRPr="00CC2819">
        <w:t> k€ y parte del coste está sufragado por unos ingresos en forma de patrocinios o convenios de colaboración con los ayuntamientos</w:t>
      </w:r>
      <w:r w:rsidR="007F6173">
        <w:rPr>
          <w:rStyle w:val="normaltextrun"/>
          <w:rFonts w:ascii="Calibri" w:hAnsi="Calibri" w:cs="Calibri"/>
          <w:color w:val="000000"/>
          <w:sz w:val="22"/>
          <w:szCs w:val="22"/>
          <w:shd w:val="clear" w:color="auto" w:fill="FFFFFF"/>
        </w:rPr>
        <w:t>.</w:t>
      </w:r>
    </w:p>
    <w:p w14:paraId="22928C56" w14:textId="69F4CDB1" w:rsidR="00177491" w:rsidRPr="00EB6871" w:rsidRDefault="00177491" w:rsidP="008F3A2F">
      <w:pPr>
        <w:pStyle w:val="Prrafodelista"/>
        <w:numPr>
          <w:ilvl w:val="0"/>
          <w:numId w:val="7"/>
        </w:numPr>
        <w:jc w:val="left"/>
      </w:pPr>
      <w:r w:rsidRPr="003B086D">
        <w:rPr>
          <w:rStyle w:val="nfasissutil"/>
        </w:rPr>
        <w:t>Eventos:</w:t>
      </w:r>
      <w:r w:rsidRPr="00EB6871">
        <w:t xml:space="preserve"> </w:t>
      </w:r>
      <w:r w:rsidR="00F01C13">
        <w:rPr>
          <w:rStyle w:val="normaltextrun"/>
          <w:rFonts w:ascii="Calibri" w:hAnsi="Calibri" w:cs="Calibri"/>
          <w:color w:val="000000"/>
          <w:sz w:val="22"/>
          <w:szCs w:val="22"/>
          <w:shd w:val="clear" w:color="auto" w:fill="FFFFFF"/>
        </w:rPr>
        <w:t> </w:t>
      </w:r>
      <w:r w:rsidR="00F01C13" w:rsidRPr="00F01C13">
        <w:t>Para el 2022 el presupuesto destinado a eventos del DFS es de 74 k€ para los eventos organizados por el programa y 75,8 k€ para las participaciones a eventos organizados por terceros. </w:t>
      </w:r>
    </w:p>
    <w:p w14:paraId="6644BEE1" w14:textId="6B1AD761" w:rsidR="00904580" w:rsidRPr="00EB6871" w:rsidRDefault="00F01C13" w:rsidP="000A0AF5">
      <w:pPr>
        <w:pStyle w:val="Prrafodelista"/>
        <w:numPr>
          <w:ilvl w:val="0"/>
          <w:numId w:val="7"/>
        </w:numPr>
        <w:jc w:val="left"/>
      </w:pPr>
      <w:r>
        <w:rPr>
          <w:rStyle w:val="nfasissutil"/>
        </w:rPr>
        <w:t xml:space="preserve">Global Summit </w:t>
      </w:r>
      <w:r w:rsidR="00177491" w:rsidRPr="003B086D">
        <w:rPr>
          <w:rStyle w:val="nfasissutil"/>
        </w:rPr>
        <w:t>:</w:t>
      </w:r>
      <w:r w:rsidR="00177491" w:rsidRPr="00EB6871">
        <w:t xml:space="preserve"> </w:t>
      </w:r>
      <w:r w:rsidR="00D74E16" w:rsidRPr="00D74E16">
        <w:t>Congreso internacional con periodicidad anual. El evento tendrá una duración de dos días, será el lugar donde convergen los encargados de formular políticas, empresarios, líderes cívicos y académicos para explorar cómo podríamos construir un futuro más equitativo e inclusivo en la era digital. Esta partida asocia unos costes de 475 k€, donde se presupuestan 202 k€ en contratación de ponentes y moderadores, y 164 k€ en agencias de producción de eventos, comunicación y prensa, elaboración de contenido y consultorías. </w:t>
      </w:r>
    </w:p>
    <w:p w14:paraId="780AC784" w14:textId="545DA9D9" w:rsidR="00177491" w:rsidRPr="00EB6871" w:rsidRDefault="00D74E16" w:rsidP="00D74E16">
      <w:pPr>
        <w:jc w:val="left"/>
      </w:pPr>
      <w:r w:rsidRPr="00D74E16">
        <w:lastRenderedPageBreak/>
        <w:t>Para apoyar a estos 3 ejes del programa, se han presupuestado unos gastos de 478 k€ en Marketing y Comunicación (incluyendo las licitaciones de content marketing, gabinete de prensa, y otros gastos de campañas digitales y material marketing) y 91 k€ en la partida de Engagement, para la organización de webinars, roadshows, y otras actividades de soporte al programa. </w:t>
      </w:r>
    </w:p>
    <w:p w14:paraId="5094F8B5" w14:textId="45F39F14" w:rsidR="00177491" w:rsidRPr="00EB6871" w:rsidRDefault="00177491" w:rsidP="00E13D58">
      <w:pPr>
        <w:pStyle w:val="Ttulo2"/>
      </w:pPr>
      <w:bookmarkStart w:id="16" w:name="_Toc85297123"/>
      <w:r w:rsidRPr="00EB6871">
        <w:t xml:space="preserve">5.2. </w:t>
      </w:r>
      <w:r w:rsidR="006E0482">
        <w:t xml:space="preserve">Barcelona </w:t>
      </w:r>
      <w:r w:rsidRPr="00EB6871">
        <w:t>Digital Talent</w:t>
      </w:r>
      <w:bookmarkEnd w:id="16"/>
    </w:p>
    <w:tbl>
      <w:tblPr>
        <w:tblpPr w:leftFromText="141" w:rightFromText="141" w:vertAnchor="page" w:horzAnchor="margin" w:tblpXSpec="center" w:tblpY="3955"/>
        <w:tblW w:w="5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2865"/>
      </w:tblGrid>
      <w:tr w:rsidR="00D74E16" w:rsidRPr="00AF0DC9" w14:paraId="147F439E" w14:textId="77777777" w:rsidTr="00D74E16">
        <w:trPr>
          <w:trHeight w:val="300"/>
        </w:trPr>
        <w:tc>
          <w:tcPr>
            <w:tcW w:w="5835" w:type="dxa"/>
            <w:gridSpan w:val="2"/>
            <w:tcBorders>
              <w:top w:val="single" w:sz="6" w:space="0" w:color="FFFFFF"/>
              <w:left w:val="single" w:sz="6" w:space="0" w:color="FFFFFF"/>
              <w:bottom w:val="single" w:sz="24" w:space="0" w:color="FFFFFF"/>
              <w:right w:val="single" w:sz="6" w:space="0" w:color="FFFFFF"/>
            </w:tcBorders>
            <w:shd w:val="clear" w:color="auto" w:fill="C00000"/>
            <w:hideMark/>
          </w:tcPr>
          <w:p w14:paraId="2A30281A" w14:textId="77777777" w:rsidR="00D74E16" w:rsidRPr="007027B8" w:rsidRDefault="00D74E16" w:rsidP="00D74E16">
            <w:pPr>
              <w:jc w:val="center"/>
              <w:rPr>
                <w:rStyle w:val="nfasissutil"/>
              </w:rPr>
            </w:pPr>
            <w:r w:rsidRPr="009109DE">
              <w:rPr>
                <w:rStyle w:val="nfasissutil"/>
                <w:color w:val="FFFFFF" w:themeColor="background1"/>
                <w:sz w:val="16"/>
                <w:szCs w:val="16"/>
              </w:rPr>
              <w:t>DIGITAL TALENT</w:t>
            </w:r>
          </w:p>
        </w:tc>
      </w:tr>
      <w:tr w:rsidR="00D74E16" w:rsidRPr="00AF0DC9" w14:paraId="37EA4E17" w14:textId="77777777" w:rsidTr="00D74E16">
        <w:trPr>
          <w:trHeight w:val="300"/>
        </w:trPr>
        <w:tc>
          <w:tcPr>
            <w:tcW w:w="2970" w:type="dxa"/>
            <w:tcBorders>
              <w:top w:val="single" w:sz="24" w:space="0" w:color="FFFFFF"/>
              <w:left w:val="single" w:sz="6" w:space="0" w:color="FFFFFF"/>
              <w:bottom w:val="single" w:sz="6" w:space="0" w:color="FFFFFF"/>
              <w:right w:val="single" w:sz="6" w:space="0" w:color="FFFFFF"/>
            </w:tcBorders>
            <w:shd w:val="clear" w:color="auto" w:fill="D9D9D9"/>
            <w:hideMark/>
          </w:tcPr>
          <w:p w14:paraId="7151B387" w14:textId="77777777" w:rsidR="00D74E16" w:rsidRPr="00AF0DC9" w:rsidRDefault="00D74E16" w:rsidP="00D74E16">
            <w:pPr>
              <w:rPr>
                <w:rFonts w:cs="Segoe UI"/>
                <w:sz w:val="18"/>
                <w:szCs w:val="18"/>
              </w:rPr>
            </w:pPr>
            <w:r w:rsidRPr="00AF0DC9">
              <w:rPr>
                <w:sz w:val="18"/>
                <w:szCs w:val="18"/>
              </w:rPr>
              <w:t>Ingresos actividades </w:t>
            </w:r>
          </w:p>
        </w:tc>
        <w:tc>
          <w:tcPr>
            <w:tcW w:w="2865" w:type="dxa"/>
            <w:tcBorders>
              <w:top w:val="single" w:sz="24" w:space="0" w:color="FFFFFF"/>
              <w:left w:val="single" w:sz="6" w:space="0" w:color="FFFFFF"/>
              <w:bottom w:val="single" w:sz="6" w:space="0" w:color="FFFFFF"/>
              <w:right w:val="single" w:sz="6" w:space="0" w:color="FFFFFF"/>
            </w:tcBorders>
            <w:shd w:val="clear" w:color="auto" w:fill="D9D9D9"/>
            <w:hideMark/>
          </w:tcPr>
          <w:p w14:paraId="6661258C" w14:textId="57BC8109" w:rsidR="00D74E16" w:rsidRPr="00AF0DC9" w:rsidRDefault="00FA132C" w:rsidP="00D74E16">
            <w:pPr>
              <w:rPr>
                <w:rFonts w:cs="Segoe UI"/>
                <w:sz w:val="18"/>
                <w:szCs w:val="18"/>
              </w:rPr>
            </w:pPr>
            <w:r>
              <w:rPr>
                <w:sz w:val="18"/>
                <w:szCs w:val="18"/>
              </w:rPr>
              <w:t>300</w:t>
            </w:r>
            <w:r w:rsidR="00D74E16" w:rsidRPr="00AF0DC9">
              <w:rPr>
                <w:sz w:val="18"/>
                <w:szCs w:val="18"/>
              </w:rPr>
              <w:t xml:space="preserve"> k€ </w:t>
            </w:r>
          </w:p>
        </w:tc>
      </w:tr>
      <w:tr w:rsidR="00D74E16" w:rsidRPr="00AF0DC9" w14:paraId="3C2086CE" w14:textId="77777777" w:rsidTr="00D74E16">
        <w:trPr>
          <w:trHeight w:val="300"/>
        </w:trPr>
        <w:tc>
          <w:tcPr>
            <w:tcW w:w="2970" w:type="dxa"/>
            <w:tcBorders>
              <w:top w:val="single" w:sz="6" w:space="0" w:color="FFFFFF"/>
              <w:left w:val="single" w:sz="6" w:space="0" w:color="FFFFFF"/>
              <w:bottom w:val="single" w:sz="6" w:space="0" w:color="FFFFFF"/>
              <w:right w:val="single" w:sz="6" w:space="0" w:color="FFFFFF"/>
            </w:tcBorders>
            <w:shd w:val="clear" w:color="auto" w:fill="D9D9D9"/>
            <w:hideMark/>
          </w:tcPr>
          <w:p w14:paraId="32C2A737" w14:textId="77777777" w:rsidR="00D74E16" w:rsidRPr="00AF0DC9" w:rsidRDefault="00D74E16" w:rsidP="00D74E16">
            <w:pPr>
              <w:rPr>
                <w:rFonts w:cs="Segoe UI"/>
                <w:sz w:val="18"/>
                <w:szCs w:val="18"/>
              </w:rPr>
            </w:pPr>
            <w:r w:rsidRPr="00AF0DC9">
              <w:rPr>
                <w:sz w:val="18"/>
                <w:szCs w:val="18"/>
              </w:rPr>
              <w:t>Gastos actividades </w:t>
            </w:r>
          </w:p>
        </w:tc>
        <w:tc>
          <w:tcPr>
            <w:tcW w:w="2865" w:type="dxa"/>
            <w:tcBorders>
              <w:top w:val="single" w:sz="6" w:space="0" w:color="FFFFFF"/>
              <w:left w:val="single" w:sz="6" w:space="0" w:color="FFFFFF"/>
              <w:bottom w:val="single" w:sz="6" w:space="0" w:color="FFFFFF"/>
              <w:right w:val="single" w:sz="6" w:space="0" w:color="FFFFFF"/>
            </w:tcBorders>
            <w:shd w:val="clear" w:color="auto" w:fill="D9D9D9"/>
            <w:hideMark/>
          </w:tcPr>
          <w:p w14:paraId="7095C12B" w14:textId="6328ABFF" w:rsidR="00D74E16" w:rsidRPr="00AF0DC9" w:rsidRDefault="00D74E16" w:rsidP="00D74E16">
            <w:pPr>
              <w:rPr>
                <w:rFonts w:cs="Segoe UI"/>
                <w:sz w:val="18"/>
                <w:szCs w:val="18"/>
              </w:rPr>
            </w:pPr>
            <w:r w:rsidRPr="00AF0DC9">
              <w:rPr>
                <w:sz w:val="18"/>
                <w:szCs w:val="18"/>
              </w:rPr>
              <w:t>-</w:t>
            </w:r>
            <w:r w:rsidR="003D0F6F">
              <w:rPr>
                <w:sz w:val="18"/>
                <w:szCs w:val="18"/>
              </w:rPr>
              <w:t>5</w:t>
            </w:r>
            <w:r w:rsidR="00AD742F">
              <w:rPr>
                <w:sz w:val="18"/>
                <w:szCs w:val="18"/>
              </w:rPr>
              <w:t>90</w:t>
            </w:r>
            <w:r w:rsidRPr="00AF0DC9">
              <w:rPr>
                <w:sz w:val="18"/>
                <w:szCs w:val="18"/>
              </w:rPr>
              <w:t> k€ </w:t>
            </w:r>
          </w:p>
        </w:tc>
      </w:tr>
    </w:tbl>
    <w:p w14:paraId="7E161064" w14:textId="77777777" w:rsidR="00177491" w:rsidRPr="00EB6871" w:rsidRDefault="00177491" w:rsidP="00084399"/>
    <w:p w14:paraId="1D7F31A0" w14:textId="77777777" w:rsidR="00B240BA" w:rsidRPr="00EB6871" w:rsidRDefault="00B240BA" w:rsidP="00084399">
      <w:pPr>
        <w:rPr>
          <w:lang w:eastAsia="es-ES"/>
        </w:rPr>
      </w:pPr>
    </w:p>
    <w:p w14:paraId="092FC471" w14:textId="23509C05" w:rsidR="00B240BA" w:rsidRDefault="00B240BA" w:rsidP="00084399"/>
    <w:p w14:paraId="667E3D43" w14:textId="77777777" w:rsidR="009109DE" w:rsidRPr="00EB6871" w:rsidRDefault="009109DE" w:rsidP="00084399"/>
    <w:p w14:paraId="1FBE60BD" w14:textId="77777777" w:rsidR="00B240BA" w:rsidRPr="00EB6871" w:rsidRDefault="00B240BA" w:rsidP="009109DE">
      <w:pPr>
        <w:jc w:val="center"/>
      </w:pPr>
      <w:r w:rsidRPr="009109DE">
        <w:rPr>
          <w:sz w:val="14"/>
          <w:szCs w:val="14"/>
        </w:rPr>
        <w:t>* Sin tener en cuenta costes de personal</w:t>
      </w:r>
    </w:p>
    <w:p w14:paraId="0A329AD9" w14:textId="17B52C95" w:rsidR="00177491" w:rsidRPr="00EB6871" w:rsidRDefault="00177491" w:rsidP="00FA1E85">
      <w:pPr>
        <w:jc w:val="left"/>
      </w:pPr>
      <w:r w:rsidRPr="00EB6871">
        <w:t>Programa que arrancó en 2019 para posicionar Barcelona como capital de talento digital y asegurar su competitividad como ciudad tecnológica.</w:t>
      </w:r>
    </w:p>
    <w:p w14:paraId="721DE312" w14:textId="3364FB8C" w:rsidR="00177491" w:rsidRPr="00EB6871" w:rsidRDefault="00177491" w:rsidP="00FA1E85">
      <w:pPr>
        <w:jc w:val="left"/>
      </w:pPr>
      <w:r w:rsidRPr="00EB6871">
        <w:t>Barcelona Digital Talent es una alianza público-privada impulsada por MWCapital, CTecno, Barcelona Tech City, 22@Network, Foment del Treball, Barcelona Global, Generalitat de Catalunya y Ajuntament de Barcelona.</w:t>
      </w:r>
    </w:p>
    <w:p w14:paraId="487FF090" w14:textId="12EF0FD4" w:rsidR="00177491" w:rsidRPr="00EB6871" w:rsidRDefault="00177491" w:rsidP="00FA1E85">
      <w:pPr>
        <w:jc w:val="left"/>
      </w:pPr>
      <w:r w:rsidRPr="00EB6871">
        <w:t>La alianza tiene como objetivo posicionar Barcelona como</w:t>
      </w:r>
      <w:r w:rsidR="00515324">
        <w:t xml:space="preserve"> un</w:t>
      </w:r>
      <w:r w:rsidRPr="00EB6871">
        <w:t xml:space="preserve"> hub de talento digital que crea y retiene profesionales con competencias digitales y capta talento a nivel internacional.</w:t>
      </w:r>
    </w:p>
    <w:p w14:paraId="0699ECAB" w14:textId="24432C96" w:rsidR="00177491" w:rsidRPr="00EB6871" w:rsidRDefault="00177491" w:rsidP="00FA1E85">
      <w:pPr>
        <w:jc w:val="left"/>
      </w:pPr>
      <w:r w:rsidRPr="00EB6871">
        <w:t>Se trata de un proyecto en el cual se ven representados de forma transversal todos los actores del ecosistema para definir una estrategia y unos objetivos comunes que permitan sumar esfuerzos y ser más eficientes con todos los recursos e iniciativas en torno al desarrollo de talento digital.</w:t>
      </w:r>
    </w:p>
    <w:p w14:paraId="0D2AC142" w14:textId="783EFFCB" w:rsidR="00177491" w:rsidRPr="00EB6871" w:rsidRDefault="00177491" w:rsidP="00FA1E85">
      <w:pPr>
        <w:jc w:val="left"/>
      </w:pPr>
      <w:r w:rsidRPr="00EB6871">
        <w:t xml:space="preserve">La alianza trabaja en dos principales ejes de trabajo: fomentar la captación y atracción de talento no digital al sector y la atracción de talento internacional posicionando Barcelona y </w:t>
      </w:r>
      <w:r w:rsidR="00515324" w:rsidRPr="00EB6871">
        <w:t>Catalu</w:t>
      </w:r>
      <w:r w:rsidR="00515324">
        <w:t>ny</w:t>
      </w:r>
      <w:r w:rsidR="00515324" w:rsidRPr="00EB6871">
        <w:t xml:space="preserve">a </w:t>
      </w:r>
      <w:r w:rsidRPr="00EB6871">
        <w:t>como lugar dónde desarrollar tu carrera.</w:t>
      </w:r>
    </w:p>
    <w:p w14:paraId="3560BA12" w14:textId="174AB974" w:rsidR="00177491" w:rsidRPr="00EB6871" w:rsidRDefault="00177491" w:rsidP="00FA1E85">
      <w:pPr>
        <w:jc w:val="left"/>
      </w:pPr>
      <w:r w:rsidRPr="00EB6871">
        <w:t>Para llevarlo a cabo, la alianza ha segmentado las diferentes líneas de actuación que corresponden a las áreas anteriormente mencionadas.</w:t>
      </w:r>
    </w:p>
    <w:p w14:paraId="1607CC46" w14:textId="33CE5675" w:rsidR="00177491" w:rsidRDefault="00846F32" w:rsidP="00846F32">
      <w:pPr>
        <w:jc w:val="left"/>
      </w:pPr>
      <w:r w:rsidRPr="00846F32">
        <w:t>En lo que respecta a la contribución económica de MWCapital, se concentran en partidas relacionadas con Ingresos, MarComms, Eventos, Servicios a Ciudadanía, Viajes. </w:t>
      </w:r>
    </w:p>
    <w:p w14:paraId="12AB3541" w14:textId="77777777" w:rsidR="00793FAE" w:rsidRPr="00793FAE" w:rsidRDefault="00793FAE" w:rsidP="00793FAE">
      <w:pPr>
        <w:jc w:val="left"/>
      </w:pPr>
      <w:r w:rsidRPr="00793FAE">
        <w:rPr>
          <w:b/>
          <w:bCs/>
        </w:rPr>
        <w:t>Ingresos:</w:t>
      </w:r>
      <w:r w:rsidRPr="00793FAE">
        <w:t> </w:t>
      </w:r>
    </w:p>
    <w:p w14:paraId="4D26B563" w14:textId="77777777" w:rsidR="00793FAE" w:rsidRPr="00793FAE" w:rsidRDefault="00793FAE" w:rsidP="00793FAE">
      <w:pPr>
        <w:jc w:val="left"/>
      </w:pPr>
      <w:r w:rsidRPr="00793FAE">
        <w:t>Esta línea contempla las aportaciones dinerarias que otras empresas o entidades aporten al proyecto.  </w:t>
      </w:r>
    </w:p>
    <w:p w14:paraId="61096856" w14:textId="77777777" w:rsidR="00793FAE" w:rsidRPr="00793FAE" w:rsidRDefault="00793FAE" w:rsidP="00793FAE">
      <w:pPr>
        <w:jc w:val="left"/>
      </w:pPr>
      <w:r w:rsidRPr="00793FAE">
        <w:t xml:space="preserve">Como se ha introducido anteriormente, se trata de una alianza público-privada en la que el papel de las empresas es fundamental para alinear esfuerzos. En este sentido se contempla la posibilidad de formar parte de la alianza a través de un modelo de </w:t>
      </w:r>
      <w:r w:rsidRPr="00793FAE">
        <w:lastRenderedPageBreak/>
        <w:t>subscripción anual a las diferentes actividades que ofrece la alianza. Estas contribuciones oscilan entre 10.000 y 25.000 euros según la categoría de membresía que opte la empresa solicitante. Se prevé la incorporación de 16 empresas durante el 2022, habida en cuenta que durante el 2021 ya son 13 las empresas suscritas para su renovación. Todo ello suma un importe total de 190.000 euros. </w:t>
      </w:r>
    </w:p>
    <w:p w14:paraId="40F48F1F" w14:textId="77777777" w:rsidR="00793FAE" w:rsidRPr="00793FAE" w:rsidRDefault="00793FAE" w:rsidP="00793FAE">
      <w:pPr>
        <w:jc w:val="left"/>
      </w:pPr>
      <w:r w:rsidRPr="00793FAE">
        <w:t>Así mismo, se espera obtener ingresos por parte de las administraciones públicas en forma de subvención. En concreto se prevén dos subvenciones, una procedente de la Generalitat de Catalunya por valor total de 100.000 euros y otra del Ajuntament de Barcelona por valor total de 10.000 euros. </w:t>
      </w:r>
    </w:p>
    <w:p w14:paraId="012376FA" w14:textId="77777777" w:rsidR="00793FAE" w:rsidRPr="00793FAE" w:rsidRDefault="00793FAE" w:rsidP="00793FAE">
      <w:pPr>
        <w:jc w:val="left"/>
      </w:pPr>
      <w:r w:rsidRPr="00793FAE">
        <w:t>Estos ingresos, así mismo, han de servir para financiar las actividades que posteriormente se describirán.</w:t>
      </w:r>
    </w:p>
    <w:p w14:paraId="0DD78DB0" w14:textId="77777777" w:rsidR="00793FAE" w:rsidRPr="00EB6871" w:rsidRDefault="00793FAE" w:rsidP="00846F32">
      <w:pPr>
        <w:jc w:val="left"/>
      </w:pPr>
    </w:p>
    <w:p w14:paraId="71828888" w14:textId="35447803" w:rsidR="00904580" w:rsidRPr="00EB6871" w:rsidRDefault="00177491" w:rsidP="00FA1E85">
      <w:pPr>
        <w:pStyle w:val="Prrafodelista"/>
        <w:numPr>
          <w:ilvl w:val="0"/>
          <w:numId w:val="9"/>
        </w:numPr>
        <w:jc w:val="left"/>
      </w:pPr>
      <w:r w:rsidRPr="003B086D">
        <w:rPr>
          <w:rStyle w:val="nfasissutil"/>
        </w:rPr>
        <w:t>Marketing y comunicación</w:t>
      </w:r>
      <w:r w:rsidRPr="00EB6871">
        <w:t>: contempla todos aquellos gastos que van relacionados con las actividades de Marketing y Comunicación y tiene un gasto asociado de</w:t>
      </w:r>
      <w:r w:rsidR="00D51B70">
        <w:t xml:space="preserve"> 2</w:t>
      </w:r>
      <w:r w:rsidR="006349A5">
        <w:t>24</w:t>
      </w:r>
      <w:r w:rsidRPr="00EB6871">
        <w:t xml:space="preserve"> k€</w:t>
      </w:r>
    </w:p>
    <w:p w14:paraId="5CA9C438" w14:textId="77777777" w:rsidR="00904580" w:rsidRPr="00EB6871" w:rsidRDefault="00904580" w:rsidP="00FA1E85">
      <w:pPr>
        <w:pStyle w:val="Prrafodelista"/>
        <w:jc w:val="left"/>
      </w:pPr>
    </w:p>
    <w:p w14:paraId="59F0ADF7" w14:textId="39A22AD7" w:rsidR="00904580" w:rsidRPr="00EB6871" w:rsidRDefault="00177491" w:rsidP="00FA1E85">
      <w:pPr>
        <w:pStyle w:val="Prrafodelista"/>
        <w:jc w:val="left"/>
      </w:pPr>
      <w:r w:rsidRPr="00EB6871">
        <w:t xml:space="preserve">Los dos principales ejes se apoyan en un mismo proceso para sensibilizar, promocionar y conectar, por un lado, talento local para que se forme en competencias digitales y, por otro, talento internacional para que decidan desarrollar su trayectoria profesional en Barcelona.  </w:t>
      </w:r>
    </w:p>
    <w:p w14:paraId="1D5253A6" w14:textId="77777777" w:rsidR="00040D5D" w:rsidRPr="00EB6871" w:rsidRDefault="00040D5D" w:rsidP="00FA1E85">
      <w:pPr>
        <w:pStyle w:val="Prrafodelista"/>
        <w:jc w:val="left"/>
      </w:pPr>
    </w:p>
    <w:p w14:paraId="01D88578" w14:textId="709B5C98" w:rsidR="00904580" w:rsidRPr="00EB6871" w:rsidRDefault="00177491" w:rsidP="00FA1E85">
      <w:pPr>
        <w:pStyle w:val="Prrafodelista"/>
        <w:jc w:val="left"/>
      </w:pPr>
      <w:r w:rsidRPr="00EB6871">
        <w:t>A lo largo del 202</w:t>
      </w:r>
      <w:r w:rsidR="00D51B70">
        <w:t>2</w:t>
      </w:r>
      <w:r w:rsidRPr="00EB6871">
        <w:t xml:space="preserve"> se contemplan un seguido de actuaciones que precisan del correspondiente soporte en: </w:t>
      </w:r>
    </w:p>
    <w:p w14:paraId="39BA6B69" w14:textId="77777777" w:rsidR="00040D5D" w:rsidRPr="00EB6871" w:rsidRDefault="00040D5D" w:rsidP="00FA1E85">
      <w:pPr>
        <w:pStyle w:val="Prrafodelista"/>
        <w:jc w:val="left"/>
      </w:pPr>
    </w:p>
    <w:p w14:paraId="5A31C89D" w14:textId="77777777" w:rsidR="00105FE0" w:rsidRPr="00105FE0" w:rsidRDefault="00105FE0" w:rsidP="00105FE0">
      <w:pPr>
        <w:pStyle w:val="paragraph"/>
        <w:numPr>
          <w:ilvl w:val="0"/>
          <w:numId w:val="33"/>
        </w:numPr>
        <w:spacing w:before="0" w:beforeAutospacing="0" w:after="0" w:afterAutospacing="0"/>
        <w:ind w:left="1140" w:firstLine="0"/>
        <w:jc w:val="both"/>
        <w:textAlignment w:val="baseline"/>
        <w:rPr>
          <w:rFonts w:ascii="Graphik Regular" w:eastAsiaTheme="minorHAnsi" w:hAnsi="Graphik Regular" w:cs="Arial"/>
          <w:sz w:val="20"/>
          <w:szCs w:val="20"/>
          <w:lang w:eastAsia="en-US"/>
        </w:rPr>
      </w:pPr>
      <w:r w:rsidRPr="00105FE0">
        <w:rPr>
          <w:rFonts w:ascii="Graphik Regular" w:eastAsiaTheme="minorHAnsi" w:hAnsi="Graphik Regular"/>
          <w:sz w:val="20"/>
          <w:szCs w:val="20"/>
          <w:lang w:eastAsia="en-US"/>
        </w:rPr>
        <w:t>Campañas en medios digitales: la compra de espacio publicitario online tales como espacio en Instagram, Linked-In, Twitter, Youtube o cualquier otra red que sea considerada.</w:t>
      </w:r>
      <w:r w:rsidRPr="00105FE0">
        <w:rPr>
          <w:rFonts w:ascii="Graphik Regular" w:eastAsiaTheme="minorHAnsi" w:hAnsi="Graphik Regular" w:cs="Arial"/>
          <w:sz w:val="20"/>
          <w:szCs w:val="20"/>
          <w:lang w:eastAsia="en-US"/>
        </w:rPr>
        <w:t> </w:t>
      </w:r>
    </w:p>
    <w:p w14:paraId="42EA0BB9" w14:textId="77777777" w:rsidR="00105FE0" w:rsidRPr="00105FE0" w:rsidRDefault="00105FE0" w:rsidP="00105FE0">
      <w:pPr>
        <w:pStyle w:val="paragraph"/>
        <w:numPr>
          <w:ilvl w:val="0"/>
          <w:numId w:val="33"/>
        </w:numPr>
        <w:spacing w:before="0" w:beforeAutospacing="0" w:after="0" w:afterAutospacing="0"/>
        <w:ind w:left="1140" w:firstLine="0"/>
        <w:jc w:val="both"/>
        <w:textAlignment w:val="baseline"/>
        <w:rPr>
          <w:rFonts w:ascii="Graphik Regular" w:eastAsiaTheme="minorHAnsi" w:hAnsi="Graphik Regular" w:cs="Arial"/>
          <w:sz w:val="20"/>
          <w:szCs w:val="20"/>
          <w:lang w:eastAsia="en-US"/>
        </w:rPr>
      </w:pPr>
      <w:r w:rsidRPr="00105FE0">
        <w:rPr>
          <w:rFonts w:ascii="Graphik Regular" w:eastAsiaTheme="minorHAnsi" w:hAnsi="Graphik Regular"/>
          <w:sz w:val="20"/>
          <w:szCs w:val="20"/>
          <w:lang w:eastAsia="en-US"/>
        </w:rPr>
        <w:t>Producción audiovisual: relacionado con la producción de videos que serán empleados en nuestra plataforma web, redes sociales o espacio publicitario.</w:t>
      </w:r>
      <w:r w:rsidRPr="00105FE0">
        <w:rPr>
          <w:rFonts w:ascii="Graphik Regular" w:eastAsiaTheme="minorHAnsi" w:hAnsi="Graphik Regular" w:cs="Arial"/>
          <w:sz w:val="20"/>
          <w:szCs w:val="20"/>
          <w:lang w:eastAsia="en-US"/>
        </w:rPr>
        <w:t> </w:t>
      </w:r>
    </w:p>
    <w:p w14:paraId="27D08622" w14:textId="77777777" w:rsidR="00105FE0" w:rsidRPr="00105FE0" w:rsidRDefault="00105FE0" w:rsidP="00105FE0">
      <w:pPr>
        <w:pStyle w:val="paragraph"/>
        <w:numPr>
          <w:ilvl w:val="0"/>
          <w:numId w:val="33"/>
        </w:numPr>
        <w:spacing w:before="0" w:beforeAutospacing="0" w:after="0" w:afterAutospacing="0"/>
        <w:ind w:left="1140" w:firstLine="0"/>
        <w:jc w:val="both"/>
        <w:textAlignment w:val="baseline"/>
        <w:rPr>
          <w:rFonts w:ascii="Graphik Regular" w:eastAsiaTheme="minorHAnsi" w:hAnsi="Graphik Regular" w:cs="Arial"/>
          <w:sz w:val="20"/>
          <w:szCs w:val="20"/>
          <w:lang w:eastAsia="en-US"/>
        </w:rPr>
      </w:pPr>
      <w:r w:rsidRPr="00105FE0">
        <w:rPr>
          <w:rFonts w:ascii="Graphik Regular" w:eastAsiaTheme="minorHAnsi" w:hAnsi="Graphik Regular"/>
          <w:sz w:val="20"/>
          <w:szCs w:val="20"/>
          <w:lang w:eastAsia="en-US"/>
        </w:rPr>
        <w:t>Agencias/profesionales de creatividad y diseño: relacionado con la maquetación de documentos (estudios e informes) que se van a realizar a lo largo de todo el año.</w:t>
      </w:r>
      <w:r w:rsidRPr="00105FE0">
        <w:rPr>
          <w:rFonts w:ascii="Graphik Regular" w:eastAsiaTheme="minorHAnsi" w:hAnsi="Graphik Regular" w:cs="Arial"/>
          <w:sz w:val="20"/>
          <w:szCs w:val="20"/>
          <w:lang w:eastAsia="en-US"/>
        </w:rPr>
        <w:t> </w:t>
      </w:r>
    </w:p>
    <w:p w14:paraId="05B69C99" w14:textId="77777777" w:rsidR="00105FE0" w:rsidRPr="00105FE0" w:rsidRDefault="00105FE0" w:rsidP="00105FE0">
      <w:pPr>
        <w:pStyle w:val="paragraph"/>
        <w:numPr>
          <w:ilvl w:val="0"/>
          <w:numId w:val="33"/>
        </w:numPr>
        <w:spacing w:before="0" w:beforeAutospacing="0" w:after="0" w:afterAutospacing="0"/>
        <w:ind w:left="1140" w:firstLine="0"/>
        <w:jc w:val="both"/>
        <w:textAlignment w:val="baseline"/>
        <w:rPr>
          <w:rFonts w:ascii="Graphik Regular" w:eastAsiaTheme="minorHAnsi" w:hAnsi="Graphik Regular" w:cs="Arial"/>
          <w:sz w:val="20"/>
          <w:szCs w:val="20"/>
          <w:lang w:eastAsia="en-US"/>
        </w:rPr>
      </w:pPr>
      <w:r w:rsidRPr="00105FE0">
        <w:rPr>
          <w:rFonts w:ascii="Graphik Regular" w:eastAsiaTheme="minorHAnsi" w:hAnsi="Graphik Regular"/>
          <w:sz w:val="20"/>
          <w:szCs w:val="20"/>
          <w:lang w:eastAsia="en-US"/>
        </w:rPr>
        <w:t>Traducciones: relacionado con la difusión de contenido en otros idiomas, principalmente traducciones al catalán, castellano e inglés.</w:t>
      </w:r>
      <w:r w:rsidRPr="00105FE0">
        <w:rPr>
          <w:rFonts w:ascii="Graphik Regular" w:eastAsiaTheme="minorHAnsi" w:hAnsi="Graphik Regular" w:cs="Arial"/>
          <w:sz w:val="20"/>
          <w:szCs w:val="20"/>
          <w:lang w:eastAsia="en-US"/>
        </w:rPr>
        <w:t> </w:t>
      </w:r>
    </w:p>
    <w:p w14:paraId="49A24FAE" w14:textId="77777777" w:rsidR="00105FE0" w:rsidRPr="00105FE0" w:rsidRDefault="00105FE0" w:rsidP="00105FE0">
      <w:pPr>
        <w:pStyle w:val="paragraph"/>
        <w:numPr>
          <w:ilvl w:val="0"/>
          <w:numId w:val="34"/>
        </w:numPr>
        <w:spacing w:before="0" w:beforeAutospacing="0" w:after="0" w:afterAutospacing="0"/>
        <w:ind w:left="1140" w:firstLine="0"/>
        <w:jc w:val="both"/>
        <w:textAlignment w:val="baseline"/>
        <w:rPr>
          <w:rFonts w:ascii="Graphik Regular" w:eastAsiaTheme="minorHAnsi" w:hAnsi="Graphik Regular" w:cs="Arial"/>
          <w:sz w:val="20"/>
          <w:szCs w:val="20"/>
          <w:lang w:eastAsia="en-US"/>
        </w:rPr>
      </w:pPr>
      <w:r w:rsidRPr="00105FE0">
        <w:rPr>
          <w:rFonts w:ascii="Graphik Regular" w:eastAsiaTheme="minorHAnsi" w:hAnsi="Graphik Regular"/>
          <w:sz w:val="20"/>
          <w:szCs w:val="20"/>
          <w:lang w:eastAsia="en-US"/>
        </w:rPr>
        <w:t>Consultoría: soporte de una empresa externa o freelance que nos ayude en la gestión y tareas vinculadas a la actividad diaria de marketing, así como soporte en la optimización de herramientas de marketing automatizado (SalesForce).</w:t>
      </w:r>
      <w:r w:rsidRPr="00105FE0">
        <w:rPr>
          <w:rFonts w:ascii="Graphik Regular" w:eastAsiaTheme="minorHAnsi" w:hAnsi="Graphik Regular" w:cs="Arial"/>
          <w:sz w:val="20"/>
          <w:szCs w:val="20"/>
          <w:lang w:eastAsia="en-US"/>
        </w:rPr>
        <w:t> </w:t>
      </w:r>
    </w:p>
    <w:p w14:paraId="72D7A598" w14:textId="77777777" w:rsidR="00105FE0" w:rsidRPr="00105FE0" w:rsidRDefault="00105FE0" w:rsidP="00105FE0">
      <w:pPr>
        <w:pStyle w:val="paragraph"/>
        <w:numPr>
          <w:ilvl w:val="0"/>
          <w:numId w:val="34"/>
        </w:numPr>
        <w:spacing w:before="0" w:beforeAutospacing="0" w:after="0" w:afterAutospacing="0"/>
        <w:ind w:left="1140" w:firstLine="0"/>
        <w:jc w:val="both"/>
        <w:textAlignment w:val="baseline"/>
        <w:rPr>
          <w:rFonts w:ascii="Graphik Regular" w:eastAsiaTheme="minorHAnsi" w:hAnsi="Graphik Regular" w:cs="Arial"/>
          <w:sz w:val="20"/>
          <w:szCs w:val="20"/>
          <w:lang w:eastAsia="en-US"/>
        </w:rPr>
      </w:pPr>
      <w:r w:rsidRPr="00105FE0">
        <w:rPr>
          <w:rFonts w:ascii="Graphik Regular" w:eastAsiaTheme="minorHAnsi" w:hAnsi="Graphik Regular"/>
          <w:sz w:val="20"/>
          <w:szCs w:val="20"/>
          <w:lang w:eastAsia="en-US"/>
        </w:rPr>
        <w:t>Agencias profesionales de comunicación: agencias externas para el soporte de proyectos vinculados a el uso de influencers y otros canales alternativos que mejoren la diseminación de nuestro contenido a través del público target.</w:t>
      </w:r>
      <w:r w:rsidRPr="00105FE0">
        <w:rPr>
          <w:rFonts w:ascii="Graphik Regular" w:eastAsiaTheme="minorHAnsi" w:hAnsi="Graphik Regular" w:cs="Arial"/>
          <w:sz w:val="20"/>
          <w:szCs w:val="20"/>
          <w:lang w:eastAsia="en-US"/>
        </w:rPr>
        <w:t> </w:t>
      </w:r>
    </w:p>
    <w:p w14:paraId="55F89AD3" w14:textId="77777777" w:rsidR="00105FE0" w:rsidRPr="00105FE0" w:rsidRDefault="00105FE0" w:rsidP="00105FE0">
      <w:pPr>
        <w:pStyle w:val="paragraph"/>
        <w:numPr>
          <w:ilvl w:val="0"/>
          <w:numId w:val="34"/>
        </w:numPr>
        <w:spacing w:before="0" w:beforeAutospacing="0" w:after="0" w:afterAutospacing="0"/>
        <w:ind w:left="1140" w:firstLine="0"/>
        <w:jc w:val="both"/>
        <w:textAlignment w:val="baseline"/>
        <w:rPr>
          <w:rFonts w:ascii="Graphik Regular" w:eastAsiaTheme="minorHAnsi" w:hAnsi="Graphik Regular" w:cs="Arial"/>
          <w:sz w:val="20"/>
          <w:szCs w:val="20"/>
          <w:lang w:eastAsia="en-US"/>
        </w:rPr>
      </w:pPr>
      <w:r w:rsidRPr="00105FE0">
        <w:rPr>
          <w:rFonts w:ascii="Graphik Regular" w:eastAsiaTheme="minorHAnsi" w:hAnsi="Graphik Regular"/>
          <w:sz w:val="20"/>
          <w:szCs w:val="20"/>
          <w:lang w:eastAsia="en-US"/>
        </w:rPr>
        <w:t>Profesionales. Elaboración y gestión de contenidos: la redacción de todo aquel contenido que se distribuya a través de nuestro portal web tales como la actualización del directorio de empresas y cursos, artículos, testimoniales, etc.</w:t>
      </w:r>
    </w:p>
    <w:p w14:paraId="5D4940FC" w14:textId="450BF005" w:rsidR="00511781" w:rsidRPr="00EB6871" w:rsidRDefault="00177491" w:rsidP="00FA1E85">
      <w:pPr>
        <w:jc w:val="left"/>
      </w:pPr>
      <w:r w:rsidRPr="00EB6871">
        <w:lastRenderedPageBreak/>
        <w:t xml:space="preserve">Todas estas actuaciones darán soporte a las siguientes líneas de actuación. </w:t>
      </w:r>
    </w:p>
    <w:p w14:paraId="66C653EC" w14:textId="24E4C8CF" w:rsidR="00904580" w:rsidRPr="00EB6871" w:rsidRDefault="00177491" w:rsidP="00FA1E85">
      <w:pPr>
        <w:pStyle w:val="Prrafodelista"/>
        <w:numPr>
          <w:ilvl w:val="0"/>
          <w:numId w:val="9"/>
        </w:numPr>
        <w:jc w:val="left"/>
      </w:pPr>
      <w:r w:rsidRPr="003B086D">
        <w:rPr>
          <w:rStyle w:val="nfasissutil"/>
        </w:rPr>
        <w:t>Eventos:</w:t>
      </w:r>
      <w:r w:rsidRPr="00EB6871">
        <w:t xml:space="preserve"> Durante el año 202</w:t>
      </w:r>
      <w:r w:rsidR="00E65AFC">
        <w:t>2</w:t>
      </w:r>
      <w:r w:rsidRPr="00EB6871">
        <w:t xml:space="preserve"> se van a realizar </w:t>
      </w:r>
      <w:r w:rsidR="00E65AFC">
        <w:t xml:space="preserve">diferentes </w:t>
      </w:r>
      <w:r w:rsidRPr="00EB6871">
        <w:t xml:space="preserve">tipos de eventos y para esta partida se destinarán </w:t>
      </w:r>
      <w:r w:rsidR="00E65AFC">
        <w:t>122</w:t>
      </w:r>
      <w:r w:rsidRPr="00EB6871">
        <w:t xml:space="preserve"> k€</w:t>
      </w:r>
    </w:p>
    <w:p w14:paraId="321BED8B" w14:textId="77777777" w:rsidR="00904580" w:rsidRPr="00EB6871" w:rsidRDefault="00904580" w:rsidP="00FA1E85">
      <w:pPr>
        <w:pStyle w:val="Prrafodelista"/>
        <w:jc w:val="left"/>
      </w:pPr>
    </w:p>
    <w:p w14:paraId="63F3DAF1" w14:textId="77777777" w:rsidR="00B90C91" w:rsidRPr="00B90C91" w:rsidRDefault="00B90C91" w:rsidP="00B90C91">
      <w:pPr>
        <w:pStyle w:val="Prrafodelista"/>
        <w:numPr>
          <w:ilvl w:val="0"/>
          <w:numId w:val="35"/>
        </w:numPr>
        <w:jc w:val="left"/>
      </w:pPr>
      <w:r w:rsidRPr="00B90C91">
        <w:rPr>
          <w:rFonts w:ascii="Graphik Black" w:hAnsi="Graphik Black"/>
        </w:rPr>
        <w:t xml:space="preserve">Jump2digital: </w:t>
      </w:r>
      <w:r w:rsidRPr="00B90C91">
        <w:t>es el evento anual de la alianza ideado para ser el gran encuentro del talento digital entre candidatos y empresas. Este evento nos sirve también para posicionar la alianza y captar nuevas empresas miembro. Los gastos que se prevén para este tipo de acto son “Alquiler de mobiliario”, “Servicios de personal staff vinculados al evento”, “Alquiler de equipos”, “Agencias/profesionales de soporte a la producción”, “Ponentes/Moderadores”, “Servicio de dinamización de eventos”, “Alquiler de espacios no recurrentes”. </w:t>
      </w:r>
    </w:p>
    <w:p w14:paraId="1D2348F0" w14:textId="77777777" w:rsidR="00B90C91" w:rsidRPr="00B90C91" w:rsidRDefault="00B90C91" w:rsidP="00B90C91">
      <w:pPr>
        <w:pStyle w:val="Prrafodelista"/>
        <w:numPr>
          <w:ilvl w:val="0"/>
          <w:numId w:val="35"/>
        </w:numPr>
        <w:jc w:val="left"/>
      </w:pPr>
      <w:r w:rsidRPr="00B90C91">
        <w:rPr>
          <w:rFonts w:ascii="Graphik Black" w:hAnsi="Graphik Black"/>
        </w:rPr>
        <w:t>Eventos de Comunidad Abiertos</w:t>
      </w:r>
      <w:r w:rsidRPr="00B90C91">
        <w:t>: son encuentros entre empresas preocupadas por la falta de talento digital que tienen como objetivo presentar los informes y estudios que se elaboren a lo largo del año. Se prevé realizar tres eventos de este tipo. Los gastos que se prevén para este tipo de acto son: “Catering”. </w:t>
      </w:r>
    </w:p>
    <w:p w14:paraId="6DB1DC8D" w14:textId="77777777" w:rsidR="00B90C91" w:rsidRPr="00B90C91" w:rsidRDefault="00B90C91" w:rsidP="00B90C91">
      <w:pPr>
        <w:pStyle w:val="Prrafodelista"/>
        <w:numPr>
          <w:ilvl w:val="0"/>
          <w:numId w:val="35"/>
        </w:numPr>
        <w:jc w:val="left"/>
      </w:pPr>
      <w:r w:rsidRPr="00B90C91">
        <w:rPr>
          <w:rFonts w:ascii="Graphik Black" w:hAnsi="Graphik Black"/>
        </w:rPr>
        <w:t xml:space="preserve">Eventos de Comunidad Cerrados: </w:t>
      </w:r>
      <w:r w:rsidRPr="00B90C91">
        <w:t>son encuentros entre las empresas miembro de la alianza en los que participa una figura destacada del área de conocimiento que se quiera tratar (por ejemplo, un profesor, un analista, …). Se prevé realizar tres eventos de comunidad cerrados. Los gastos que se prevén para este tipo de acto son “Consultoría” y “Catering”. </w:t>
      </w:r>
    </w:p>
    <w:p w14:paraId="5B67045B" w14:textId="77777777" w:rsidR="00B90C91" w:rsidRPr="00B90C91" w:rsidRDefault="00B90C91" w:rsidP="00B90C91">
      <w:pPr>
        <w:pStyle w:val="Prrafodelista"/>
        <w:numPr>
          <w:ilvl w:val="0"/>
          <w:numId w:val="35"/>
        </w:numPr>
        <w:jc w:val="left"/>
      </w:pPr>
      <w:r w:rsidRPr="00B90C91">
        <w:rPr>
          <w:rFonts w:ascii="Graphik Black" w:hAnsi="Graphik Black"/>
        </w:rPr>
        <w:t xml:space="preserve">4YFN: </w:t>
      </w:r>
      <w:r w:rsidRPr="00B90C91">
        <w:t>aprovechando la cercana relación con GSMA y la feria 4YFN, se prevé alcanzar un acuerdo para ubicar una zona especializada en talento digital dentro de la propia feria. Dicha zona contará con una zona para realizar hackathon for recruitment, un speed dating o dinámica similar y un pequeño stage en el que celebrar ponencias. Así mismo, se prevé la participación en el programa del contenido de la feria. Los gastos que se prevén para este tipo de acto son “Construcción de stands, materiales y decoración para eventos”, “Patrocinios/Convenios de colaboración”. </w:t>
      </w:r>
    </w:p>
    <w:p w14:paraId="1A1F1012" w14:textId="77777777" w:rsidR="00B90C91" w:rsidRPr="00B90C91" w:rsidRDefault="00B90C91" w:rsidP="00B90C91">
      <w:pPr>
        <w:pStyle w:val="Prrafodelista"/>
        <w:numPr>
          <w:ilvl w:val="0"/>
          <w:numId w:val="36"/>
        </w:numPr>
        <w:jc w:val="left"/>
      </w:pPr>
      <w:r w:rsidRPr="00B90C91">
        <w:rPr>
          <w:rFonts w:ascii="Graphik Black" w:hAnsi="Graphik Black"/>
        </w:rPr>
        <w:t xml:space="preserve">Convocatorias de prensa: </w:t>
      </w:r>
      <w:r w:rsidRPr="00B90C91">
        <w:t>consideramos que a lo largo de todo el año 2022 se van a realizar dos convocatorias de prensa para comunicar la publicación de dos estudios y/o actividades y noticias relacionadas con la alianza. No se prevé que esta actividad tenga ningún coste. </w:t>
      </w:r>
    </w:p>
    <w:p w14:paraId="34B8436E" w14:textId="77777777" w:rsidR="00B90C91" w:rsidRPr="00B90C91" w:rsidRDefault="00B90C91" w:rsidP="00B90C91">
      <w:pPr>
        <w:pStyle w:val="Prrafodelista"/>
        <w:numPr>
          <w:ilvl w:val="0"/>
          <w:numId w:val="36"/>
        </w:numPr>
        <w:jc w:val="left"/>
      </w:pPr>
      <w:r w:rsidRPr="00B90C91">
        <w:rPr>
          <w:rFonts w:ascii="Graphik Black" w:hAnsi="Graphik Black"/>
        </w:rPr>
        <w:t xml:space="preserve">Advisory Board: </w:t>
      </w:r>
      <w:r w:rsidRPr="00B90C91">
        <w:t>se trata de encuentros cada seis meses entre personas destacadas del sector digital para que ayuden a orientar la estrategia y líneas de actuación de la alianza. Se prevé realizar dos eventos de este tipo. Los gastos que se prevén para este tipo de acto son: “Catering”. </w:t>
      </w:r>
    </w:p>
    <w:p w14:paraId="1BFF91FA" w14:textId="77777777" w:rsidR="00B90C91" w:rsidRPr="00B90C91" w:rsidRDefault="00B90C91" w:rsidP="00B90C91">
      <w:pPr>
        <w:pStyle w:val="Prrafodelista"/>
        <w:numPr>
          <w:ilvl w:val="0"/>
          <w:numId w:val="36"/>
        </w:numPr>
        <w:jc w:val="left"/>
      </w:pPr>
      <w:r w:rsidRPr="00B90C91">
        <w:rPr>
          <w:rFonts w:ascii="Graphik Black" w:hAnsi="Graphik Black"/>
        </w:rPr>
        <w:t xml:space="preserve">Piloto Rural: </w:t>
      </w:r>
      <w:r w:rsidRPr="00B90C91">
        <w:t xml:space="preserve">se trata de un proyecto para promocionar el trabajo en remoto desde entornos rurales para perfiles digitales. Este proyecto se realizó durante el 2021 y se quiere repetir la misma experiencia en dos ubicaciones distintas durante el 2022. Durante un periodo de tiempo, varios profesionales digitales tienen la oportunidad de vivir la experiencia y conectar con los municipios de acogida a través de actividades varias. Los gastos que se prevén para este tipo </w:t>
      </w:r>
      <w:r w:rsidRPr="00B90C91">
        <w:lastRenderedPageBreak/>
        <w:t>de evento son: “Agencias/profesionales de soporte a la producción”, “Viajes y gastos</w:t>
      </w:r>
      <w:r w:rsidRPr="00B90C91">
        <w:rPr>
          <w:rFonts w:ascii="Graphik Black" w:hAnsi="Graphik Black"/>
        </w:rPr>
        <w:t xml:space="preserve"> </w:t>
      </w:r>
      <w:r w:rsidRPr="00B90C91">
        <w:t>menores asociados a terceros”, “Servicios de dinamización de eventos”, “Catering” y “Alquiler de espacios no recurrentes”.  </w:t>
      </w:r>
    </w:p>
    <w:p w14:paraId="368FF472" w14:textId="77777777" w:rsidR="00B90C91" w:rsidRPr="00B90C91" w:rsidRDefault="00B90C91" w:rsidP="00B90C91">
      <w:pPr>
        <w:pStyle w:val="Prrafodelista"/>
        <w:numPr>
          <w:ilvl w:val="0"/>
          <w:numId w:val="36"/>
        </w:numPr>
        <w:jc w:val="left"/>
      </w:pPr>
      <w:r w:rsidRPr="00B90C91">
        <w:rPr>
          <w:rFonts w:ascii="Graphik Black" w:hAnsi="Graphik Black"/>
        </w:rPr>
        <w:t xml:space="preserve">Tour BDT: </w:t>
      </w:r>
      <w:r w:rsidRPr="00B90C91">
        <w:t>se trata de un proyecto en el que, a través de las principales universidades y centros formativos que reciben talento internacional en Barcelona, podamos organizar una jornada en el que estos alumnos visiten las principales empresas reclutadoras de talento digital en cada una de sus sedes para acabar con en un acto de encuentro entre talento y recruiters de todas ellas. Se prevé realizar un solo evento de este tipo. Los gastos que se prevén para este evento son: “Viajes y gastos menores asociados a terceros” y “Catering”.  </w:t>
      </w:r>
    </w:p>
    <w:p w14:paraId="4BA17DF9" w14:textId="4FF6D3DC" w:rsidR="00B90C91" w:rsidRDefault="00B90C91" w:rsidP="00B90C91">
      <w:pPr>
        <w:pStyle w:val="Prrafodelista"/>
        <w:numPr>
          <w:ilvl w:val="0"/>
          <w:numId w:val="36"/>
        </w:numPr>
        <w:jc w:val="left"/>
      </w:pPr>
      <w:r w:rsidRPr="00B90C91">
        <w:rPr>
          <w:rFonts w:ascii="Graphik Black" w:hAnsi="Graphik Black"/>
        </w:rPr>
        <w:t xml:space="preserve">Conexión Universidades: </w:t>
      </w:r>
      <w:r w:rsidRPr="00B90C91">
        <w:t>este tipo de actos van orientados a retener aquel talento internacional que viene a Barcelona a realizar sus estudios de grado, postgrado o máster, con el objetivo de conectarlos con empresas tecnológicas que retengan este talento que provisionalmente está estudiando aquí. No se prevé que esta actividad tenga ningún coste. </w:t>
      </w:r>
    </w:p>
    <w:p w14:paraId="4B2A759D" w14:textId="77777777" w:rsidR="00DE74A6" w:rsidRDefault="00DE74A6" w:rsidP="00DE74A6">
      <w:pPr>
        <w:pStyle w:val="Prrafodelista"/>
        <w:ind w:left="1068"/>
        <w:jc w:val="left"/>
      </w:pPr>
    </w:p>
    <w:p w14:paraId="466ED288" w14:textId="4FC87E66" w:rsidR="00BE459A" w:rsidRPr="009C331E" w:rsidRDefault="00BE459A" w:rsidP="00DE74A6">
      <w:pPr>
        <w:pStyle w:val="Prrafodelista"/>
        <w:numPr>
          <w:ilvl w:val="0"/>
          <w:numId w:val="9"/>
        </w:numPr>
        <w:jc w:val="left"/>
        <w:rPr>
          <w:rStyle w:val="nfasissutil"/>
        </w:rPr>
      </w:pPr>
      <w:r w:rsidRPr="00DE74A6">
        <w:rPr>
          <w:rStyle w:val="nfasissutil"/>
        </w:rPr>
        <w:t>Servicios a ciudadanía: </w:t>
      </w:r>
      <w:r w:rsidR="009C331E" w:rsidRPr="009C331E">
        <w:t>se destinará para esta partida un presupuesto de 132 k€</w:t>
      </w:r>
    </w:p>
    <w:p w14:paraId="248F9043" w14:textId="77777777" w:rsidR="00BE459A" w:rsidRPr="00BE459A" w:rsidRDefault="00BE459A" w:rsidP="00DE74A6">
      <w:pPr>
        <w:ind w:left="360"/>
        <w:jc w:val="left"/>
      </w:pPr>
      <w:r w:rsidRPr="00BE459A">
        <w:t>Durante el año 2022 se van a realizar doce servicios a ciudadanía de acuerdo con los dos ejes (reorientación profesional al sector digital y captación de talento internacional) y según la fase en la que se encuentren: orientación, formación o conexión: </w:t>
      </w:r>
    </w:p>
    <w:p w14:paraId="329E208C" w14:textId="77777777" w:rsidR="00BE459A" w:rsidRPr="00BE459A" w:rsidRDefault="00BE459A" w:rsidP="00BE459A">
      <w:pPr>
        <w:numPr>
          <w:ilvl w:val="0"/>
          <w:numId w:val="37"/>
        </w:numPr>
        <w:jc w:val="left"/>
      </w:pPr>
      <w:r w:rsidRPr="00BE459A">
        <w:rPr>
          <w:b/>
          <w:bCs/>
        </w:rPr>
        <w:t>Programa de Mentorship</w:t>
      </w:r>
      <w:r w:rsidRPr="00BE459A">
        <w:t>: a lo largo del 2022 se prevé realizar un servicio de asesoramiento entre talento que están evaluando formarse en competencias digitales y profesionales de esta industria. Los gastos que se prevén para este tipo de actividad son “Consultorías” y “Campañas en medios digitales”. </w:t>
      </w:r>
    </w:p>
    <w:p w14:paraId="77537C43" w14:textId="77777777" w:rsidR="00BE459A" w:rsidRPr="00BE459A" w:rsidRDefault="00BE459A" w:rsidP="00BE459A">
      <w:pPr>
        <w:numPr>
          <w:ilvl w:val="0"/>
          <w:numId w:val="37"/>
        </w:numPr>
        <w:jc w:val="left"/>
      </w:pPr>
      <w:r w:rsidRPr="00BE459A">
        <w:rPr>
          <w:b/>
          <w:bCs/>
        </w:rPr>
        <w:t>Talleres</w:t>
      </w:r>
      <w:r w:rsidRPr="00BE459A">
        <w:t>: a lo largo del 2022 se prevé realizar 10 talleres online a través de diferentes partners del proyecto y 10 talleres online a través de nuestro propio portal. Estos talleres tienen como objetivo sensibilizar y orientar a personas que están pensado reenfocar su futuro profesional hacia el mundo digital. Los gastos que se prevén para este tipo de actividad son “Consultorías”, “Campañas en medios digitales”. </w:t>
      </w:r>
    </w:p>
    <w:p w14:paraId="58D31BA3" w14:textId="77777777" w:rsidR="00BE459A" w:rsidRPr="00BE459A" w:rsidRDefault="00BE459A" w:rsidP="00BE459A">
      <w:pPr>
        <w:numPr>
          <w:ilvl w:val="0"/>
          <w:numId w:val="38"/>
        </w:numPr>
        <w:jc w:val="left"/>
      </w:pPr>
      <w:r w:rsidRPr="00BE459A">
        <w:rPr>
          <w:b/>
          <w:bCs/>
        </w:rPr>
        <w:t>Plataformas de e-learning:</w:t>
      </w:r>
      <w:r w:rsidRPr="00BE459A">
        <w:t> se ofrece la posibilidad de acceder a formación abierta en línea a través de partnerships con proveedores de dicho contenido tales como Coursera, Conecta Empleo (Telefónica), Trailhead (SalesForce), etc. Los gastos que se prevén para este tipo de actividad son “Campañas en medios digitales” y “Licencias de software”. </w:t>
      </w:r>
    </w:p>
    <w:p w14:paraId="35D81B73" w14:textId="77777777" w:rsidR="00BE459A" w:rsidRPr="00BE459A" w:rsidRDefault="00BE459A" w:rsidP="00BE459A">
      <w:pPr>
        <w:numPr>
          <w:ilvl w:val="0"/>
          <w:numId w:val="38"/>
        </w:numPr>
        <w:jc w:val="left"/>
      </w:pPr>
      <w:r w:rsidRPr="00BE459A">
        <w:rPr>
          <w:b/>
          <w:bCs/>
        </w:rPr>
        <w:t>Becas BDT</w:t>
      </w:r>
      <w:r w:rsidRPr="00BE459A">
        <w:t>: durante el 2022 se espera realizar una campaña de comunicación para promocionar becas de cursos relacionados con el desarrollo de competencias digitales. Los gastos que se prevén para este tipo de actividad son “Campañas en medios digitales” y “Producción audiovisual”. </w:t>
      </w:r>
    </w:p>
    <w:p w14:paraId="3EA1DF72" w14:textId="77777777" w:rsidR="00BE459A" w:rsidRPr="00BE459A" w:rsidRDefault="00BE459A" w:rsidP="00BE459A">
      <w:pPr>
        <w:numPr>
          <w:ilvl w:val="0"/>
          <w:numId w:val="38"/>
        </w:numPr>
        <w:jc w:val="left"/>
      </w:pPr>
      <w:r w:rsidRPr="00BE459A">
        <w:rPr>
          <w:b/>
          <w:bCs/>
        </w:rPr>
        <w:lastRenderedPageBreak/>
        <w:t>Cursos BDT:</w:t>
      </w:r>
      <w:r w:rsidRPr="00BE459A">
        <w:t xml:space="preserve"> durante el 2020 y 2021 se desarrollaron 7 programas formativos que responden a las necesidades de los puestos de trabajo que las empresas más demandan de talento digital. Se espera que estos programas se oferten de forma subvencionada durante el 2022. Para ello se va a promover la captación de alumnos y la conexión de éstos con empresas una vez se hayan formado. Los gastos que se prevén para este tipo de actividad son “Campañas en medios digitales”, “Consultorías” y “Producción audiovisual”. </w:t>
      </w:r>
    </w:p>
    <w:p w14:paraId="6305FBFE" w14:textId="77777777" w:rsidR="00BE459A" w:rsidRPr="00BE459A" w:rsidRDefault="00BE459A" w:rsidP="00BE459A">
      <w:pPr>
        <w:numPr>
          <w:ilvl w:val="0"/>
          <w:numId w:val="38"/>
        </w:numPr>
        <w:jc w:val="left"/>
      </w:pPr>
      <w:r w:rsidRPr="00BE459A">
        <w:rPr>
          <w:b/>
          <w:bCs/>
        </w:rPr>
        <w:t>Speed Datings:</w:t>
      </w:r>
      <w:r w:rsidRPr="00BE459A">
        <w:t xml:space="preserve"> se trata de un tipo de eventos en los que, a través de entrevistas rápidas, empresas puedan ver a candidatos afines a las vacantes que están ofreciendo. Habitualmente este tipo de evento se enmarca en algún tipo de feria profesional como, por ejemplo, 4YFN o Sónar+D. Los gastos que se prevén para este tipo de acto son “Consultoría”. </w:t>
      </w:r>
    </w:p>
    <w:p w14:paraId="77A12878" w14:textId="77777777" w:rsidR="00BE459A" w:rsidRPr="00BE459A" w:rsidRDefault="00BE459A" w:rsidP="00BE459A">
      <w:pPr>
        <w:numPr>
          <w:ilvl w:val="0"/>
          <w:numId w:val="38"/>
        </w:numPr>
        <w:jc w:val="left"/>
      </w:pPr>
      <w:r w:rsidRPr="00BE459A">
        <w:rPr>
          <w:b/>
          <w:bCs/>
        </w:rPr>
        <w:t>Hackathon for recruitment:</w:t>
      </w:r>
      <w:r w:rsidRPr="00BE459A">
        <w:t xml:space="preserve"> se trata de un tipo de evento en el que, a través de un reto, nuevo talento digital puede demostrar sus aptitudes hard y soft. En el mismo evento participan mentores (recruiters) para ayudarles en la resolución del reto y poder ver como se desenvuelven los participantes. Los gastos que se prevén para este tipo de acto son “Consultoría”. </w:t>
      </w:r>
    </w:p>
    <w:p w14:paraId="7C9A84B1" w14:textId="77777777" w:rsidR="00BE459A" w:rsidRPr="00BE459A" w:rsidRDefault="00BE459A" w:rsidP="00BE459A">
      <w:pPr>
        <w:numPr>
          <w:ilvl w:val="0"/>
          <w:numId w:val="39"/>
        </w:numPr>
        <w:jc w:val="left"/>
      </w:pPr>
      <w:r w:rsidRPr="00BE459A">
        <w:rPr>
          <w:b/>
          <w:bCs/>
        </w:rPr>
        <w:t>Talent Squad:</w:t>
      </w:r>
      <w:r w:rsidRPr="00BE459A">
        <w:t xml:space="preserve"> se trata de un portal de información agregada con todas aquellas personas que recién hayan finalizado una formación de ámbito digital. Esta base de datos está conectada con recruiters de las principales empresas contratadoras de talento digital. Los gastos que se prevén para este tipo de acto son “Consultoría”. </w:t>
      </w:r>
    </w:p>
    <w:p w14:paraId="4EE1794E" w14:textId="77777777" w:rsidR="00BE459A" w:rsidRPr="00BE459A" w:rsidRDefault="00BE459A" w:rsidP="00BE459A">
      <w:pPr>
        <w:numPr>
          <w:ilvl w:val="0"/>
          <w:numId w:val="39"/>
        </w:numPr>
        <w:jc w:val="left"/>
      </w:pPr>
      <w:r w:rsidRPr="00BE459A">
        <w:rPr>
          <w:b/>
          <w:bCs/>
        </w:rPr>
        <w:t>Digital Talent Overview:</w:t>
      </w:r>
      <w:r w:rsidRPr="00BE459A">
        <w:t xml:space="preserve"> se trata del estudio anual que realizamos para evaluar la brecha de talento digital en Barcelona. Este estudio tiene doble objetivo, dar difusión de la escasez de profesionales con competencias de desarrollo digital y orientar las diferentes líneas de actuación de la alianza. Los gastos que se prevén para este tipo de actividad son “Consultorías”, “Producción audiovisual” y “Campañas en medios digitales”. </w:t>
      </w:r>
    </w:p>
    <w:p w14:paraId="3AF77AAE" w14:textId="77777777" w:rsidR="00BE459A" w:rsidRPr="00BE459A" w:rsidRDefault="00BE459A" w:rsidP="00BE459A">
      <w:pPr>
        <w:numPr>
          <w:ilvl w:val="0"/>
          <w:numId w:val="39"/>
        </w:numPr>
        <w:jc w:val="left"/>
      </w:pPr>
      <w:r w:rsidRPr="00BE459A">
        <w:rPr>
          <w:b/>
          <w:bCs/>
        </w:rPr>
        <w:t>Monográficos especiales</w:t>
      </w:r>
      <w:r w:rsidRPr="00BE459A">
        <w:t>: se trata de otra categoría de estudios, más acotados, que tratan de un tema concreto acerca del talento digital. Por ejemplo, el estado del talento digital en el sector en concreto o nuevas herramientas para la agilización de procesos digitales. Estos estudios sirven para ilustrar información extendida de un tema muy concreto. Los gastos que se prevén para este tipo de actividad son “Consultorías” y “Producción audiovisual”. </w:t>
      </w:r>
    </w:p>
    <w:p w14:paraId="432A3AC7" w14:textId="77777777" w:rsidR="00BE459A" w:rsidRPr="00BE459A" w:rsidRDefault="00BE459A" w:rsidP="00BE459A">
      <w:pPr>
        <w:numPr>
          <w:ilvl w:val="0"/>
          <w:numId w:val="39"/>
        </w:numPr>
        <w:jc w:val="left"/>
      </w:pPr>
      <w:r w:rsidRPr="00BE459A">
        <w:rPr>
          <w:b/>
          <w:bCs/>
        </w:rPr>
        <w:t>Digital Talent Monitor:</w:t>
      </w:r>
      <w:r w:rsidRPr="00BE459A">
        <w:t xml:space="preserve"> se trata de una infografía mensual en la que se puede ver la evolución de la demanda de talento digital del mes anterior. Este tipo de contenido es difundido por redes sociales y se actualiza mes a mes. Los gastos que se prevén para este tipo de actividad son “Licencias de software” y “Agencias/profesionales de creatividad y diseño”. </w:t>
      </w:r>
    </w:p>
    <w:p w14:paraId="461DCEC4" w14:textId="77777777" w:rsidR="00BE459A" w:rsidRPr="00BE459A" w:rsidRDefault="00BE459A" w:rsidP="00BE459A">
      <w:pPr>
        <w:numPr>
          <w:ilvl w:val="0"/>
          <w:numId w:val="39"/>
        </w:numPr>
        <w:jc w:val="left"/>
      </w:pPr>
      <w:r w:rsidRPr="00BE459A">
        <w:rPr>
          <w:b/>
          <w:bCs/>
        </w:rPr>
        <w:t>Misiones Internacionales:</w:t>
      </w:r>
      <w:r w:rsidRPr="00BE459A">
        <w:t xml:space="preserve"> a lo largo del 2022 se prevé realizar un total de dos misiones de captación de talento digital en formato online. Son eventos </w:t>
      </w:r>
      <w:r w:rsidRPr="00BE459A">
        <w:lastRenderedPageBreak/>
        <w:t>que sirven para posicionar Barcelona como lugar dónde desarrollar tu carrera profesional y así mismo para conectar talento digital de fuera con empresas de Barcelona. Los gastos que se prevén para este tipo de acto son “Consultoría”, “Campañas en medios digitales” y “Producción audiovisual”. Hay más gastos que serán desembolsados por otras entidades. </w:t>
      </w:r>
    </w:p>
    <w:p w14:paraId="00921351" w14:textId="77777777" w:rsidR="00BE459A" w:rsidRPr="00BE459A" w:rsidRDefault="00BE459A" w:rsidP="00BE459A">
      <w:pPr>
        <w:numPr>
          <w:ilvl w:val="0"/>
          <w:numId w:val="40"/>
        </w:numPr>
        <w:jc w:val="left"/>
      </w:pPr>
      <w:r w:rsidRPr="00BE459A">
        <w:rPr>
          <w:b/>
          <w:bCs/>
        </w:rPr>
        <w:t>Freelance de soporte:</w:t>
      </w:r>
      <w:r w:rsidRPr="00BE459A">
        <w:t xml:space="preserve"> se trata de ayuda externa profesional para dar respuesta a puntas de trabajo extra enfocado a la gestión de soporte con los partners o a la gestión de soporte en marketing y comunicación. Los gastos que se prevén para este tipo de actividad son “Consultorías”. </w:t>
      </w:r>
    </w:p>
    <w:p w14:paraId="7EFBC34B" w14:textId="40140566" w:rsidR="00BE459A" w:rsidRPr="00BE459A" w:rsidRDefault="00BE459A" w:rsidP="00DE74A6">
      <w:pPr>
        <w:pStyle w:val="Prrafodelista"/>
        <w:numPr>
          <w:ilvl w:val="0"/>
          <w:numId w:val="9"/>
        </w:numPr>
        <w:jc w:val="left"/>
      </w:pPr>
      <w:r w:rsidRPr="00DE74A6">
        <w:rPr>
          <w:b/>
          <w:bCs/>
        </w:rPr>
        <w:t>Viajes:</w:t>
      </w:r>
      <w:r w:rsidRPr="00BE459A">
        <w:t> </w:t>
      </w:r>
    </w:p>
    <w:p w14:paraId="1B800F48" w14:textId="21126CED" w:rsidR="00BE459A" w:rsidRPr="00BE459A" w:rsidRDefault="00BE459A" w:rsidP="00DE74A6">
      <w:pPr>
        <w:ind w:left="360"/>
        <w:jc w:val="left"/>
      </w:pPr>
      <w:r w:rsidRPr="00BE459A">
        <w:t>Durante el 2022 prevemos una pequeña parte del presupuesto destinada a Viajes y Notas de Gasto</w:t>
      </w:r>
      <w:r w:rsidR="00415A9A">
        <w:t xml:space="preserve"> por 2 k€</w:t>
      </w:r>
      <w:r w:rsidRPr="00BE459A">
        <w:t>:  </w:t>
      </w:r>
    </w:p>
    <w:p w14:paraId="5E8D7859" w14:textId="44E551D6" w:rsidR="00BE459A" w:rsidRPr="00BE459A" w:rsidRDefault="00BE459A" w:rsidP="00BE459A">
      <w:pPr>
        <w:numPr>
          <w:ilvl w:val="0"/>
          <w:numId w:val="41"/>
        </w:numPr>
        <w:jc w:val="left"/>
      </w:pPr>
      <w:r w:rsidRPr="00BE459A">
        <w:rPr>
          <w:b/>
          <w:bCs/>
        </w:rPr>
        <w:t>Propios</w:t>
      </w:r>
      <w:r w:rsidRPr="00BE459A">
        <w:t>: dado las actividades que se realizarán durante el año 2022 se prevé una partida que sufraga estos costes. Los gastos que se prevén para este tipo de acto son “Viajes y gastos a personal propio”</w:t>
      </w:r>
      <w:r w:rsidR="00B00662">
        <w:t>.</w:t>
      </w:r>
    </w:p>
    <w:p w14:paraId="744EDDBF" w14:textId="77777777" w:rsidR="00BE459A" w:rsidRPr="00BE459A" w:rsidRDefault="00BE459A" w:rsidP="00BE459A">
      <w:pPr>
        <w:jc w:val="left"/>
      </w:pPr>
      <w:r w:rsidRPr="00BE459A">
        <w:t> </w:t>
      </w:r>
    </w:p>
    <w:p w14:paraId="0C78A00C" w14:textId="77777777" w:rsidR="00123D8E" w:rsidRPr="00B90C91" w:rsidRDefault="00123D8E" w:rsidP="00123D8E">
      <w:pPr>
        <w:jc w:val="left"/>
      </w:pPr>
    </w:p>
    <w:p w14:paraId="03E06186" w14:textId="77777777" w:rsidR="00904580" w:rsidRPr="00EB6871" w:rsidRDefault="00904580" w:rsidP="00FA1E85">
      <w:pPr>
        <w:pStyle w:val="Prrafodelista"/>
        <w:jc w:val="left"/>
      </w:pPr>
    </w:p>
    <w:p w14:paraId="17711B47" w14:textId="77777777" w:rsidR="00904580" w:rsidRPr="00EB6871" w:rsidRDefault="00904580" w:rsidP="00FA1E85">
      <w:pPr>
        <w:pStyle w:val="Prrafodelista"/>
        <w:jc w:val="left"/>
      </w:pPr>
    </w:p>
    <w:p w14:paraId="76E02DA6" w14:textId="2C815F07" w:rsidR="00177491" w:rsidRDefault="00177491" w:rsidP="00084399"/>
    <w:p w14:paraId="7A2752AD" w14:textId="519BAD75" w:rsidR="00B00662" w:rsidRDefault="00B00662" w:rsidP="00084399"/>
    <w:p w14:paraId="5C5A5006" w14:textId="3A1B9C48" w:rsidR="00B00662" w:rsidRDefault="00B00662" w:rsidP="00084399"/>
    <w:p w14:paraId="50475B62" w14:textId="768DA266" w:rsidR="00B00662" w:rsidRDefault="00B00662" w:rsidP="00084399"/>
    <w:p w14:paraId="329C16F8" w14:textId="478E8487" w:rsidR="00B00662" w:rsidRDefault="00B00662" w:rsidP="00084399"/>
    <w:p w14:paraId="417EFD45" w14:textId="47AA6896" w:rsidR="00B00662" w:rsidRDefault="00B00662" w:rsidP="00084399"/>
    <w:p w14:paraId="6F7B1702" w14:textId="1D9ED2BD" w:rsidR="00B00662" w:rsidRDefault="00B00662" w:rsidP="00084399"/>
    <w:p w14:paraId="710751EE" w14:textId="41F368E4" w:rsidR="00B00662" w:rsidRDefault="00B00662" w:rsidP="00084399"/>
    <w:p w14:paraId="320BD4E9" w14:textId="2809493F" w:rsidR="00B00662" w:rsidRDefault="00B00662" w:rsidP="00084399"/>
    <w:p w14:paraId="074BBDE6" w14:textId="124D0A0D" w:rsidR="00B00662" w:rsidRDefault="00B00662" w:rsidP="00084399"/>
    <w:p w14:paraId="3087619A" w14:textId="6FA40C88" w:rsidR="00B00662" w:rsidRDefault="00B00662" w:rsidP="00084399"/>
    <w:p w14:paraId="0381A7F5" w14:textId="201520DF" w:rsidR="00B00662" w:rsidRDefault="00B00662" w:rsidP="00084399"/>
    <w:p w14:paraId="659ACDB2" w14:textId="77777777" w:rsidR="00B00662" w:rsidRPr="00EB6871" w:rsidRDefault="00B00662" w:rsidP="00084399"/>
    <w:p w14:paraId="114424D4" w14:textId="77777777" w:rsidR="00177491" w:rsidRPr="00EB6871" w:rsidRDefault="00177491" w:rsidP="00E13D58">
      <w:pPr>
        <w:pStyle w:val="Ttulo2"/>
      </w:pPr>
      <w:bookmarkStart w:id="17" w:name="_Toc85297124"/>
      <w:r w:rsidRPr="00EB6871">
        <w:lastRenderedPageBreak/>
        <w:t>5.3. 5G Barcelona</w:t>
      </w:r>
      <w:bookmarkEnd w:id="17"/>
    </w:p>
    <w:p w14:paraId="49A645B2" w14:textId="46DA6076" w:rsidR="00614496" w:rsidRPr="00EB6871" w:rsidRDefault="00614496" w:rsidP="00084399">
      <w:pPr>
        <w:rPr>
          <w:lang w:eastAsia="es-ES"/>
        </w:rPr>
      </w:pPr>
    </w:p>
    <w:tbl>
      <w:tblPr>
        <w:tblpPr w:leftFromText="141" w:rightFromText="141" w:vertAnchor="page" w:horzAnchor="margin" w:tblpXSpec="center" w:tblpY="2688"/>
        <w:tblW w:w="5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2865"/>
      </w:tblGrid>
      <w:tr w:rsidR="00B00662" w:rsidRPr="00AF0DC9" w14:paraId="09566C64" w14:textId="77777777" w:rsidTr="00B00662">
        <w:trPr>
          <w:trHeight w:val="300"/>
        </w:trPr>
        <w:tc>
          <w:tcPr>
            <w:tcW w:w="5835" w:type="dxa"/>
            <w:gridSpan w:val="2"/>
            <w:tcBorders>
              <w:top w:val="single" w:sz="6" w:space="0" w:color="FFFFFF"/>
              <w:left w:val="single" w:sz="6" w:space="0" w:color="FFFFFF"/>
              <w:bottom w:val="single" w:sz="24" w:space="0" w:color="FFFFFF"/>
              <w:right w:val="single" w:sz="6" w:space="0" w:color="FFFFFF"/>
            </w:tcBorders>
            <w:shd w:val="clear" w:color="auto" w:fill="C00000"/>
            <w:hideMark/>
          </w:tcPr>
          <w:p w14:paraId="38BEC348" w14:textId="77777777" w:rsidR="00B00662" w:rsidRPr="007027B8" w:rsidRDefault="00B00662" w:rsidP="00B00662">
            <w:pPr>
              <w:jc w:val="center"/>
              <w:rPr>
                <w:rStyle w:val="nfasissutil"/>
              </w:rPr>
            </w:pPr>
            <w:r w:rsidRPr="007027B8">
              <w:rPr>
                <w:rStyle w:val="nfasissutil"/>
              </w:rPr>
              <w:t>5G BARCELONA</w:t>
            </w:r>
          </w:p>
        </w:tc>
      </w:tr>
      <w:tr w:rsidR="00B00662" w:rsidRPr="00AF0DC9" w14:paraId="4E160C50" w14:textId="77777777" w:rsidTr="00B00662">
        <w:trPr>
          <w:trHeight w:val="300"/>
        </w:trPr>
        <w:tc>
          <w:tcPr>
            <w:tcW w:w="2970" w:type="dxa"/>
            <w:tcBorders>
              <w:top w:val="single" w:sz="24" w:space="0" w:color="FFFFFF"/>
              <w:left w:val="single" w:sz="6" w:space="0" w:color="FFFFFF"/>
              <w:bottom w:val="single" w:sz="6" w:space="0" w:color="FFFFFF"/>
              <w:right w:val="single" w:sz="6" w:space="0" w:color="FFFFFF"/>
            </w:tcBorders>
            <w:shd w:val="clear" w:color="auto" w:fill="D9D9D9"/>
            <w:hideMark/>
          </w:tcPr>
          <w:p w14:paraId="5388DEFE" w14:textId="77777777" w:rsidR="00B00662" w:rsidRPr="00AF0DC9" w:rsidRDefault="00B00662" w:rsidP="00B00662">
            <w:pPr>
              <w:rPr>
                <w:rFonts w:cs="Segoe UI"/>
                <w:sz w:val="18"/>
                <w:szCs w:val="18"/>
              </w:rPr>
            </w:pPr>
            <w:r w:rsidRPr="00AF0DC9">
              <w:rPr>
                <w:sz w:val="18"/>
                <w:szCs w:val="18"/>
              </w:rPr>
              <w:t>Ingresos actividades </w:t>
            </w:r>
          </w:p>
        </w:tc>
        <w:tc>
          <w:tcPr>
            <w:tcW w:w="2865" w:type="dxa"/>
            <w:tcBorders>
              <w:top w:val="single" w:sz="24" w:space="0" w:color="FFFFFF"/>
              <w:left w:val="single" w:sz="6" w:space="0" w:color="FFFFFF"/>
              <w:bottom w:val="single" w:sz="6" w:space="0" w:color="FFFFFF"/>
              <w:right w:val="single" w:sz="6" w:space="0" w:color="FFFFFF"/>
            </w:tcBorders>
            <w:shd w:val="clear" w:color="auto" w:fill="D9D9D9"/>
            <w:hideMark/>
          </w:tcPr>
          <w:p w14:paraId="44DF859F" w14:textId="55E0E42D" w:rsidR="00B00662" w:rsidRPr="00AF0DC9" w:rsidRDefault="00131B68" w:rsidP="00B00662">
            <w:pPr>
              <w:rPr>
                <w:rFonts w:cs="Segoe UI"/>
                <w:sz w:val="18"/>
                <w:szCs w:val="18"/>
              </w:rPr>
            </w:pPr>
            <w:r>
              <w:rPr>
                <w:sz w:val="18"/>
                <w:szCs w:val="18"/>
              </w:rPr>
              <w:t>4</w:t>
            </w:r>
            <w:r w:rsidR="0090071A">
              <w:rPr>
                <w:sz w:val="18"/>
                <w:szCs w:val="18"/>
              </w:rPr>
              <w:t>50</w:t>
            </w:r>
            <w:r w:rsidR="00B00662" w:rsidRPr="00AF0DC9">
              <w:rPr>
                <w:sz w:val="18"/>
                <w:szCs w:val="18"/>
              </w:rPr>
              <w:t>k € </w:t>
            </w:r>
          </w:p>
        </w:tc>
      </w:tr>
      <w:tr w:rsidR="00B00662" w:rsidRPr="00AF0DC9" w14:paraId="77FED9B6" w14:textId="77777777" w:rsidTr="00B00662">
        <w:trPr>
          <w:trHeight w:val="300"/>
        </w:trPr>
        <w:tc>
          <w:tcPr>
            <w:tcW w:w="2970" w:type="dxa"/>
            <w:tcBorders>
              <w:top w:val="single" w:sz="6" w:space="0" w:color="FFFFFF"/>
              <w:left w:val="single" w:sz="6" w:space="0" w:color="FFFFFF"/>
              <w:bottom w:val="single" w:sz="6" w:space="0" w:color="FFFFFF"/>
              <w:right w:val="single" w:sz="6" w:space="0" w:color="FFFFFF"/>
            </w:tcBorders>
            <w:shd w:val="clear" w:color="auto" w:fill="D9D9D9"/>
            <w:hideMark/>
          </w:tcPr>
          <w:p w14:paraId="3EE333F3" w14:textId="77777777" w:rsidR="00B00662" w:rsidRPr="00AF0DC9" w:rsidRDefault="00B00662" w:rsidP="00B00662">
            <w:pPr>
              <w:rPr>
                <w:rFonts w:cs="Segoe UI"/>
                <w:sz w:val="18"/>
                <w:szCs w:val="18"/>
              </w:rPr>
            </w:pPr>
            <w:r w:rsidRPr="00AF0DC9">
              <w:rPr>
                <w:sz w:val="18"/>
                <w:szCs w:val="18"/>
              </w:rPr>
              <w:t>Gastos actividades </w:t>
            </w:r>
          </w:p>
        </w:tc>
        <w:tc>
          <w:tcPr>
            <w:tcW w:w="2865" w:type="dxa"/>
            <w:tcBorders>
              <w:top w:val="single" w:sz="6" w:space="0" w:color="FFFFFF"/>
              <w:left w:val="single" w:sz="6" w:space="0" w:color="FFFFFF"/>
              <w:bottom w:val="single" w:sz="6" w:space="0" w:color="FFFFFF"/>
              <w:right w:val="single" w:sz="6" w:space="0" w:color="FFFFFF"/>
            </w:tcBorders>
            <w:shd w:val="clear" w:color="auto" w:fill="D9D9D9"/>
            <w:hideMark/>
          </w:tcPr>
          <w:p w14:paraId="2D4CD7C8" w14:textId="6D472C7C" w:rsidR="00B00662" w:rsidRPr="00AF0DC9" w:rsidRDefault="00B00662" w:rsidP="00B00662">
            <w:pPr>
              <w:rPr>
                <w:rFonts w:cs="Segoe UI"/>
                <w:sz w:val="18"/>
                <w:szCs w:val="18"/>
              </w:rPr>
            </w:pPr>
            <w:r w:rsidRPr="00AF0DC9">
              <w:rPr>
                <w:sz w:val="18"/>
                <w:szCs w:val="18"/>
              </w:rPr>
              <w:t>-</w:t>
            </w:r>
            <w:r w:rsidR="00131B68">
              <w:rPr>
                <w:sz w:val="18"/>
                <w:szCs w:val="18"/>
              </w:rPr>
              <w:t>8</w:t>
            </w:r>
            <w:r w:rsidR="0090071A">
              <w:rPr>
                <w:sz w:val="18"/>
                <w:szCs w:val="18"/>
              </w:rPr>
              <w:t>15</w:t>
            </w:r>
            <w:r w:rsidRPr="00AF0DC9">
              <w:rPr>
                <w:sz w:val="18"/>
                <w:szCs w:val="18"/>
              </w:rPr>
              <w:t> k € </w:t>
            </w:r>
          </w:p>
        </w:tc>
      </w:tr>
    </w:tbl>
    <w:p w14:paraId="3A837927" w14:textId="05FD0A3E" w:rsidR="004A7FDB" w:rsidRDefault="004A7FDB" w:rsidP="00084399">
      <w:pPr>
        <w:rPr>
          <w:lang w:eastAsia="es-ES"/>
        </w:rPr>
      </w:pPr>
    </w:p>
    <w:p w14:paraId="577EA325" w14:textId="3045AC3E" w:rsidR="00515324" w:rsidRDefault="00515324" w:rsidP="00084399">
      <w:pPr>
        <w:rPr>
          <w:lang w:eastAsia="es-ES"/>
        </w:rPr>
      </w:pPr>
    </w:p>
    <w:p w14:paraId="79B5ADE1" w14:textId="5603C9B8" w:rsidR="00515324" w:rsidRDefault="00515324" w:rsidP="00084399">
      <w:pPr>
        <w:rPr>
          <w:lang w:eastAsia="es-ES"/>
        </w:rPr>
      </w:pPr>
    </w:p>
    <w:p w14:paraId="6A5E72A8" w14:textId="77777777" w:rsidR="009109DE" w:rsidRPr="00EB6871" w:rsidRDefault="009109DE" w:rsidP="00084399">
      <w:pPr>
        <w:rPr>
          <w:lang w:eastAsia="es-ES"/>
        </w:rPr>
      </w:pPr>
    </w:p>
    <w:p w14:paraId="57EA8C08" w14:textId="77777777" w:rsidR="00E3269D" w:rsidRPr="009109DE" w:rsidRDefault="00E3269D" w:rsidP="009109DE">
      <w:pPr>
        <w:jc w:val="center"/>
        <w:rPr>
          <w:sz w:val="14"/>
          <w:szCs w:val="14"/>
        </w:rPr>
      </w:pPr>
      <w:r w:rsidRPr="009109DE">
        <w:rPr>
          <w:sz w:val="14"/>
          <w:szCs w:val="14"/>
        </w:rPr>
        <w:t>* Sin tener en cuenta costes de personal</w:t>
      </w:r>
    </w:p>
    <w:p w14:paraId="6440E476" w14:textId="64F5498D" w:rsidR="00177491" w:rsidRPr="00EB6871" w:rsidRDefault="00177491" w:rsidP="00FA1E85">
      <w:pPr>
        <w:jc w:val="left"/>
      </w:pPr>
      <w:r w:rsidRPr="00EB6871">
        <w:t>El programa tiene como objetivo consolidar a la ciudad de Barcelona, Catalunya y España como un hub tecnológico en el desarrollo de la nueva tecnología, explorando los retornos sociales, económicos, de posicionamiento y de consolidación de talento de cada iniciativa.</w:t>
      </w:r>
    </w:p>
    <w:p w14:paraId="3D93056E" w14:textId="63C93975" w:rsidR="00177491" w:rsidRPr="00EB6871" w:rsidRDefault="00177491" w:rsidP="00FA1E85">
      <w:pPr>
        <w:jc w:val="left"/>
      </w:pPr>
      <w:r w:rsidRPr="00EB6871">
        <w:t>5G Barcelona es una iniciativa público-privada que trabaja para transformar el área metropolitana de Barcelona en un laboratorio urbano abierto y neutral para la validación y adopción de tecnologías y aplicaciones 5G en un entorno real. 5G Barcelona es un proyecto innovador que está impulsado por la Generalitat de Catalunya, el Ayuntamiento de Barcelona, Mobile World Capital Barcelona, i2CAT, CTTC, Atos y la UPC.</w:t>
      </w:r>
    </w:p>
    <w:p w14:paraId="6A8C1AEE" w14:textId="39AE3863" w:rsidR="00177491" w:rsidRPr="00EB6871" w:rsidRDefault="00177491" w:rsidP="00FA1E85">
      <w:pPr>
        <w:jc w:val="left"/>
      </w:pPr>
      <w:r w:rsidRPr="00EB6871">
        <w:t>Barcelona se está posicionando como ciudad líder en tecnología ya que cuenta con empresas capaces de generar una demanda sofisticada de servicios y aplicaciones 5G, y tiene una alta capacidad de atracción de grandes corporaciones para instalar sus unidades de innovación.</w:t>
      </w:r>
    </w:p>
    <w:p w14:paraId="3198DF10" w14:textId="6BB6039B" w:rsidR="00177491" w:rsidRPr="00EB6871" w:rsidRDefault="00177491" w:rsidP="00FA1E85">
      <w:pPr>
        <w:jc w:val="left"/>
      </w:pPr>
      <w:r w:rsidRPr="00EB6871">
        <w:t>El 5G facilitará el acceso al nombrado internet de las cosas, abriendo a la generación de nuevos servicios innovadores en el ámbito social, rural, industria 4.0, turismo, media y sanitario. El despliegue de 5G traerá una transformación tecnológica de servicios e infraestructuras, reducirá la brecha digital y generará oportunidades para las nuevas generaciones.</w:t>
      </w:r>
    </w:p>
    <w:p w14:paraId="5DD41EF5" w14:textId="4F47F5CF" w:rsidR="00177491" w:rsidRPr="00EB6871" w:rsidRDefault="00177491" w:rsidP="00FA1E85">
      <w:pPr>
        <w:jc w:val="left"/>
      </w:pPr>
      <w:r w:rsidRPr="00EB6871">
        <w:t xml:space="preserve">Los costes asociados al programa 5GBarcelona son de </w:t>
      </w:r>
      <w:r w:rsidR="00131B68">
        <w:t>8</w:t>
      </w:r>
      <w:r w:rsidR="0090071A">
        <w:t>15</w:t>
      </w:r>
      <w:r w:rsidRPr="00EB6871">
        <w:t xml:space="preserve"> k€, resumidos en las siguientes partidas:</w:t>
      </w:r>
    </w:p>
    <w:p w14:paraId="7F87EAE7" w14:textId="54D4A291" w:rsidR="00177491" w:rsidRPr="00EB6871" w:rsidRDefault="00177491" w:rsidP="00FA1E85">
      <w:pPr>
        <w:pStyle w:val="Prrafodelista"/>
        <w:numPr>
          <w:ilvl w:val="0"/>
          <w:numId w:val="14"/>
        </w:numPr>
        <w:jc w:val="left"/>
      </w:pPr>
      <w:r w:rsidRPr="003B086D">
        <w:rPr>
          <w:rStyle w:val="nfasissutil"/>
        </w:rPr>
        <w:t>Marketing:</w:t>
      </w:r>
      <w:r w:rsidRPr="00EB6871">
        <w:t xml:space="preserve"> Contenido de 5G dentro del marco </w:t>
      </w:r>
      <w:r w:rsidR="00515324">
        <w:t>MWC Barcelona</w:t>
      </w:r>
      <w:r w:rsidRPr="00EB6871">
        <w:t>, así como costes asociad</w:t>
      </w:r>
      <w:r w:rsidR="00614496" w:rsidRPr="00EB6871">
        <w:t>o</w:t>
      </w:r>
      <w:r w:rsidRPr="00EB6871">
        <w:t>s al diseño y la maquetación. (8</w:t>
      </w:r>
      <w:r w:rsidR="0090071A">
        <w:t>5</w:t>
      </w:r>
      <w:r w:rsidRPr="00EB6871">
        <w:t xml:space="preserve"> k€).</w:t>
      </w:r>
    </w:p>
    <w:p w14:paraId="6CEDEE8F" w14:textId="77777777" w:rsidR="00614496" w:rsidRPr="00EB6871" w:rsidRDefault="00614496" w:rsidP="00FA1E85">
      <w:pPr>
        <w:pStyle w:val="Prrafodelista"/>
        <w:jc w:val="left"/>
      </w:pPr>
    </w:p>
    <w:p w14:paraId="1E08230A" w14:textId="2C522DCD" w:rsidR="00177491" w:rsidRPr="00EB6871" w:rsidRDefault="00177491" w:rsidP="00FA1E85">
      <w:pPr>
        <w:pStyle w:val="Prrafodelista"/>
        <w:numPr>
          <w:ilvl w:val="0"/>
          <w:numId w:val="14"/>
        </w:numPr>
        <w:jc w:val="left"/>
      </w:pPr>
      <w:r w:rsidRPr="003B086D">
        <w:rPr>
          <w:rStyle w:val="nfasissutil"/>
        </w:rPr>
        <w:t>Pilotos:</w:t>
      </w:r>
      <w:r w:rsidRPr="00EB6871">
        <w:t xml:space="preserve"> se está colaborando en la prueba de proyectos piloto donde se analizan todos los aspectos tecnológicos y de mercado para su implementación en la vida (</w:t>
      </w:r>
      <w:r w:rsidR="0090071A">
        <w:t>261</w:t>
      </w:r>
      <w:r w:rsidRPr="00EB6871">
        <w:t xml:space="preserve"> k€)</w:t>
      </w:r>
    </w:p>
    <w:p w14:paraId="519A1E81" w14:textId="77777777" w:rsidR="00614496" w:rsidRPr="00EB6871" w:rsidRDefault="00614496" w:rsidP="00FA1E85">
      <w:pPr>
        <w:pStyle w:val="Prrafodelista"/>
        <w:jc w:val="left"/>
      </w:pPr>
    </w:p>
    <w:p w14:paraId="420DF76A" w14:textId="103AA23A" w:rsidR="00177491" w:rsidRPr="00EB6871" w:rsidRDefault="009109DE" w:rsidP="00FA1E85">
      <w:pPr>
        <w:pStyle w:val="Prrafodelista"/>
        <w:numPr>
          <w:ilvl w:val="0"/>
          <w:numId w:val="29"/>
        </w:numPr>
        <w:jc w:val="left"/>
      </w:pPr>
      <w:r w:rsidRPr="003B086D">
        <w:rPr>
          <w:rStyle w:val="nfasissutil"/>
        </w:rPr>
        <w:t xml:space="preserve"> </w:t>
      </w:r>
      <w:r w:rsidR="00177491" w:rsidRPr="003B086D">
        <w:rPr>
          <w:rStyle w:val="nfasissutil"/>
        </w:rPr>
        <w:t>5G Laboratorios:</w:t>
      </w:r>
      <w:r w:rsidR="00177491" w:rsidRPr="00EB6871">
        <w:t xml:space="preserve"> Espacios abiertos para que empresas y personas puedan testear sus ideas en diferentes redes de IoT de acuerdo con sus necesidades; probar conceptos y construir prototipos iniciales que puedan llegar al mercado. Para esta partida se dotan </w:t>
      </w:r>
      <w:r w:rsidR="0084241A">
        <w:t>57</w:t>
      </w:r>
      <w:r w:rsidR="00177491" w:rsidRPr="00EB6871">
        <w:t xml:space="preserve"> k€</w:t>
      </w:r>
    </w:p>
    <w:p w14:paraId="69045716" w14:textId="77777777" w:rsidR="00681013" w:rsidRPr="00EB6871" w:rsidRDefault="00681013" w:rsidP="00FA1E85">
      <w:pPr>
        <w:pStyle w:val="Prrafodelista"/>
        <w:jc w:val="left"/>
      </w:pPr>
    </w:p>
    <w:p w14:paraId="390DFF35" w14:textId="6C5FC7A0" w:rsidR="00681013" w:rsidRPr="00EB6871" w:rsidRDefault="00681013" w:rsidP="00FA1E85">
      <w:pPr>
        <w:pStyle w:val="Prrafodelista"/>
        <w:numPr>
          <w:ilvl w:val="0"/>
          <w:numId w:val="29"/>
        </w:numPr>
        <w:jc w:val="left"/>
      </w:pPr>
      <w:r w:rsidRPr="003B086D">
        <w:rPr>
          <w:rStyle w:val="nfasissutil"/>
        </w:rPr>
        <w:lastRenderedPageBreak/>
        <w:t>Subvención Generalitat de Catalunya (Área 5G):</w:t>
      </w:r>
      <w:r w:rsidRPr="00EB6871">
        <w:t xml:space="preserve"> Se prevé continuar con la subvención que empezó en 2020 para extender acciones de 5G por el conjunto del territorio </w:t>
      </w:r>
      <w:r w:rsidR="00652956" w:rsidRPr="00EB6871">
        <w:t>c</w:t>
      </w:r>
      <w:r w:rsidRPr="00EB6871">
        <w:t xml:space="preserve">atalán, por valor de </w:t>
      </w:r>
      <w:r w:rsidR="008E55AC">
        <w:t>4</w:t>
      </w:r>
      <w:r w:rsidRPr="00EB6871">
        <w:t>00 k€</w:t>
      </w:r>
    </w:p>
    <w:p w14:paraId="7A387F06" w14:textId="77777777" w:rsidR="00614496" w:rsidRPr="00EB6871" w:rsidRDefault="00614496" w:rsidP="00FA1E85">
      <w:pPr>
        <w:pStyle w:val="Prrafodelista"/>
        <w:jc w:val="left"/>
      </w:pPr>
    </w:p>
    <w:p w14:paraId="2CD9879C" w14:textId="15723697" w:rsidR="00177491" w:rsidRPr="00EB6871" w:rsidRDefault="00177491" w:rsidP="00FA1E85">
      <w:pPr>
        <w:pStyle w:val="Prrafodelista"/>
        <w:numPr>
          <w:ilvl w:val="0"/>
          <w:numId w:val="29"/>
        </w:numPr>
        <w:jc w:val="left"/>
      </w:pPr>
      <w:r w:rsidRPr="003B086D">
        <w:rPr>
          <w:rStyle w:val="nfasissutil"/>
        </w:rPr>
        <w:t>Gastos viajes y notas de gasto del personal propio</w:t>
      </w:r>
      <w:r w:rsidRPr="00EB6871">
        <w:t xml:space="preserve"> (</w:t>
      </w:r>
      <w:r w:rsidR="003E6E87" w:rsidRPr="00EB6871">
        <w:t>12k€)</w:t>
      </w:r>
      <w:r w:rsidR="003B7BA1" w:rsidRPr="00EB6871">
        <w:t>.</w:t>
      </w:r>
    </w:p>
    <w:p w14:paraId="303426F1" w14:textId="37998BD1" w:rsidR="00177491" w:rsidRDefault="00177491" w:rsidP="00FA1E85">
      <w:pPr>
        <w:jc w:val="left"/>
      </w:pPr>
    </w:p>
    <w:p w14:paraId="68AACA92" w14:textId="0E04CB6F" w:rsidR="00177491" w:rsidRPr="00EB6871" w:rsidRDefault="00177491" w:rsidP="0084241A">
      <w:pPr>
        <w:pStyle w:val="Ttulo2"/>
      </w:pPr>
      <w:bookmarkStart w:id="18" w:name="_Toc85297125"/>
      <w:r w:rsidRPr="00EB6871">
        <w:t>5.4. Observatorio Nacional 5G</w:t>
      </w:r>
      <w:bookmarkEnd w:id="18"/>
    </w:p>
    <w:tbl>
      <w:tblPr>
        <w:tblpPr w:leftFromText="141" w:rightFromText="141" w:vertAnchor="page" w:horzAnchor="margin" w:tblpXSpec="center" w:tblpY="4536"/>
        <w:tblW w:w="5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2865"/>
      </w:tblGrid>
      <w:tr w:rsidR="0084241A" w:rsidRPr="00EB6871" w14:paraId="3592388D" w14:textId="77777777" w:rsidTr="0084241A">
        <w:trPr>
          <w:trHeight w:val="300"/>
        </w:trPr>
        <w:tc>
          <w:tcPr>
            <w:tcW w:w="5835" w:type="dxa"/>
            <w:gridSpan w:val="2"/>
            <w:tcBorders>
              <w:top w:val="single" w:sz="6" w:space="0" w:color="FFFFFF"/>
              <w:left w:val="single" w:sz="6" w:space="0" w:color="FFFFFF"/>
              <w:bottom w:val="single" w:sz="24" w:space="0" w:color="FFFFFF"/>
              <w:right w:val="single" w:sz="6" w:space="0" w:color="FFFFFF"/>
            </w:tcBorders>
            <w:shd w:val="clear" w:color="auto" w:fill="C00000"/>
            <w:hideMark/>
          </w:tcPr>
          <w:p w14:paraId="0544A59D" w14:textId="77777777" w:rsidR="0084241A" w:rsidRPr="007027B8" w:rsidRDefault="0084241A" w:rsidP="0084241A">
            <w:pPr>
              <w:jc w:val="center"/>
              <w:rPr>
                <w:rStyle w:val="nfasissutil"/>
              </w:rPr>
            </w:pPr>
            <w:r w:rsidRPr="007027B8">
              <w:rPr>
                <w:rStyle w:val="nfasissutil"/>
              </w:rPr>
              <w:t>OBSERVATORIO NACIONAL 5G</w:t>
            </w:r>
          </w:p>
        </w:tc>
      </w:tr>
      <w:tr w:rsidR="0084241A" w:rsidRPr="00EB6871" w14:paraId="52DDF070" w14:textId="77777777" w:rsidTr="0084241A">
        <w:trPr>
          <w:trHeight w:val="300"/>
        </w:trPr>
        <w:tc>
          <w:tcPr>
            <w:tcW w:w="2970" w:type="dxa"/>
            <w:tcBorders>
              <w:top w:val="single" w:sz="24" w:space="0" w:color="FFFFFF"/>
              <w:left w:val="single" w:sz="6" w:space="0" w:color="FFFFFF"/>
              <w:bottom w:val="single" w:sz="6" w:space="0" w:color="FFFFFF"/>
              <w:right w:val="single" w:sz="6" w:space="0" w:color="FFFFFF"/>
            </w:tcBorders>
            <w:shd w:val="clear" w:color="auto" w:fill="D9D9D9"/>
            <w:hideMark/>
          </w:tcPr>
          <w:p w14:paraId="45903BC2" w14:textId="77777777" w:rsidR="0084241A" w:rsidRPr="00EB6871" w:rsidRDefault="0084241A" w:rsidP="0084241A">
            <w:pPr>
              <w:rPr>
                <w:rFonts w:cs="Segoe UI"/>
              </w:rPr>
            </w:pPr>
            <w:r w:rsidRPr="00EB6871">
              <w:t>Ingresos actividades </w:t>
            </w:r>
          </w:p>
        </w:tc>
        <w:tc>
          <w:tcPr>
            <w:tcW w:w="2865" w:type="dxa"/>
            <w:tcBorders>
              <w:top w:val="single" w:sz="24" w:space="0" w:color="FFFFFF"/>
              <w:left w:val="single" w:sz="6" w:space="0" w:color="FFFFFF"/>
              <w:bottom w:val="single" w:sz="6" w:space="0" w:color="FFFFFF"/>
              <w:right w:val="single" w:sz="6" w:space="0" w:color="FFFFFF"/>
            </w:tcBorders>
            <w:shd w:val="clear" w:color="auto" w:fill="D9D9D9"/>
            <w:hideMark/>
          </w:tcPr>
          <w:p w14:paraId="495166B4" w14:textId="1597EDC1" w:rsidR="0084241A" w:rsidRPr="00EB6871" w:rsidRDefault="0084241A" w:rsidP="0084241A">
            <w:pPr>
              <w:rPr>
                <w:rFonts w:cs="Segoe UI"/>
              </w:rPr>
            </w:pPr>
            <w:r w:rsidRPr="00EB6871">
              <w:t xml:space="preserve"> </w:t>
            </w:r>
            <w:r w:rsidR="0079102B">
              <w:t>600</w:t>
            </w:r>
            <w:r w:rsidRPr="00EB6871">
              <w:t> € </w:t>
            </w:r>
          </w:p>
        </w:tc>
      </w:tr>
      <w:tr w:rsidR="0084241A" w:rsidRPr="00EB6871" w14:paraId="519D52EA" w14:textId="77777777" w:rsidTr="0084241A">
        <w:trPr>
          <w:trHeight w:val="300"/>
        </w:trPr>
        <w:tc>
          <w:tcPr>
            <w:tcW w:w="2970" w:type="dxa"/>
            <w:tcBorders>
              <w:top w:val="single" w:sz="6" w:space="0" w:color="FFFFFF"/>
              <w:left w:val="single" w:sz="6" w:space="0" w:color="FFFFFF"/>
              <w:bottom w:val="single" w:sz="6" w:space="0" w:color="FFFFFF"/>
              <w:right w:val="single" w:sz="6" w:space="0" w:color="FFFFFF"/>
            </w:tcBorders>
            <w:shd w:val="clear" w:color="auto" w:fill="D9D9D9"/>
            <w:hideMark/>
          </w:tcPr>
          <w:p w14:paraId="275DEBDB" w14:textId="77777777" w:rsidR="0084241A" w:rsidRPr="00EB6871" w:rsidRDefault="0084241A" w:rsidP="0084241A">
            <w:pPr>
              <w:rPr>
                <w:rFonts w:cs="Segoe UI"/>
              </w:rPr>
            </w:pPr>
            <w:r w:rsidRPr="00EB6871">
              <w:t>Gastos actividades </w:t>
            </w:r>
          </w:p>
        </w:tc>
        <w:tc>
          <w:tcPr>
            <w:tcW w:w="2865" w:type="dxa"/>
            <w:tcBorders>
              <w:top w:val="single" w:sz="6" w:space="0" w:color="FFFFFF"/>
              <w:left w:val="single" w:sz="6" w:space="0" w:color="FFFFFF"/>
              <w:bottom w:val="single" w:sz="6" w:space="0" w:color="FFFFFF"/>
              <w:right w:val="single" w:sz="6" w:space="0" w:color="FFFFFF"/>
            </w:tcBorders>
            <w:shd w:val="clear" w:color="auto" w:fill="D9D9D9"/>
            <w:hideMark/>
          </w:tcPr>
          <w:p w14:paraId="592DEB00" w14:textId="27DD393A" w:rsidR="0084241A" w:rsidRPr="00EB6871" w:rsidRDefault="0079102B" w:rsidP="0084241A">
            <w:pPr>
              <w:rPr>
                <w:rFonts w:cs="Segoe UI"/>
              </w:rPr>
            </w:pPr>
            <w:r>
              <w:t xml:space="preserve"> 600</w:t>
            </w:r>
            <w:r w:rsidR="0084241A" w:rsidRPr="00EB6871">
              <w:t> k € </w:t>
            </w:r>
          </w:p>
        </w:tc>
      </w:tr>
    </w:tbl>
    <w:p w14:paraId="7B2A29EA" w14:textId="78EBEB7F" w:rsidR="00177491" w:rsidRPr="00EB6871" w:rsidRDefault="00177491" w:rsidP="00084399"/>
    <w:p w14:paraId="0DB6585B" w14:textId="77777777" w:rsidR="004A7FDB" w:rsidRPr="00EB6871" w:rsidRDefault="004A7FDB" w:rsidP="00084399"/>
    <w:p w14:paraId="7BD4150F" w14:textId="77777777" w:rsidR="00177491" w:rsidRPr="00EB6871" w:rsidRDefault="00177491" w:rsidP="00084399"/>
    <w:p w14:paraId="65DD7D8D" w14:textId="77777777" w:rsidR="004A7FDB" w:rsidRPr="00EB6871" w:rsidRDefault="004A7FDB" w:rsidP="00084399"/>
    <w:p w14:paraId="46E0F7BE" w14:textId="77777777" w:rsidR="00E3269D" w:rsidRPr="009109DE" w:rsidRDefault="00E3269D" w:rsidP="009109DE">
      <w:pPr>
        <w:jc w:val="center"/>
        <w:rPr>
          <w:sz w:val="14"/>
          <w:szCs w:val="14"/>
        </w:rPr>
      </w:pPr>
      <w:r w:rsidRPr="009109DE">
        <w:rPr>
          <w:sz w:val="14"/>
          <w:szCs w:val="14"/>
        </w:rPr>
        <w:t>* Sin tener en cuenta costes de personal</w:t>
      </w:r>
    </w:p>
    <w:p w14:paraId="28DBD1C4" w14:textId="0DAD22DB" w:rsidR="00177491" w:rsidRPr="00EB6871" w:rsidRDefault="00177491" w:rsidP="00FA1E85">
      <w:pPr>
        <w:jc w:val="left"/>
      </w:pPr>
      <w:r w:rsidRPr="00EB6871">
        <w:t xml:space="preserve">Convenio entre </w:t>
      </w:r>
      <w:r w:rsidRPr="00E765DB">
        <w:t>la Secretaría de Estado para el Avance Digital</w:t>
      </w:r>
      <w:r w:rsidR="00C53C0E">
        <w:t xml:space="preserve"> (actual </w:t>
      </w:r>
      <w:r w:rsidR="00E765DB" w:rsidRPr="003B086D">
        <w:t>Secretaría General de Infraestructuras</w:t>
      </w:r>
      <w:r w:rsidR="00E765DB">
        <w:t>)</w:t>
      </w:r>
      <w:r w:rsidRPr="00EB6871">
        <w:t xml:space="preserve">, la Entidad Pública Empresarial Red.es, M.P. y Mobile World Capital </w:t>
      </w:r>
      <w:r w:rsidR="00DB46CD">
        <w:t>Barcelona</w:t>
      </w:r>
      <w:r w:rsidR="00DB46CD" w:rsidRPr="00EB6871">
        <w:t xml:space="preserve"> </w:t>
      </w:r>
      <w:r w:rsidRPr="00EB6871">
        <w:t>para la realización de actuaciones conjuntas en el ámbito de la tecnología 5G – “Observatorio Nacional de 5G”</w:t>
      </w:r>
    </w:p>
    <w:p w14:paraId="064A1904" w14:textId="1B2BF763" w:rsidR="00177491" w:rsidRPr="00EB6871" w:rsidRDefault="00177491" w:rsidP="00FA1E85">
      <w:pPr>
        <w:jc w:val="left"/>
      </w:pPr>
      <w:r w:rsidRPr="00EB6871">
        <w:t>La tecnología 5G constituye el nuevo paradigma de las comunicaciones inalámbricas. Pero la tecnología 5G será, además, el componente tecnológico esencial en la transformación digital de la sociedad y de la economía en los países más avanzados durante la próxima década. Las principales soluciones habilitadoras para dicha transformación digital, el Internet de las cosas y el big data, la robótica, la realidad virtual o la ultra alta definición, se soportarán sobre redes y servicios 5G.</w:t>
      </w:r>
    </w:p>
    <w:p w14:paraId="31D63151" w14:textId="00BE4D10" w:rsidR="00177491" w:rsidRPr="00EB6871" w:rsidRDefault="00177491" w:rsidP="00FA1E85">
      <w:pPr>
        <w:jc w:val="left"/>
      </w:pPr>
      <w:r w:rsidRPr="00EB6871">
        <w:t>Las expectativas de impacto de la introducción de las redes y servicios 5G se apoyan en las innovaciones tecnológicas que incorpora sobre las capacidades de las actuales infraestructuras de comunicaciones móviles. El Observatorio Nacional 5G fomenta un modelo relacional que pone en común todo el ecosistema con el objetivo de encontrar soluciones 5G para coordinar, incentivar y ejecutar acciones conjuntas.</w:t>
      </w:r>
    </w:p>
    <w:p w14:paraId="7B827F54" w14:textId="1F9F05DA" w:rsidR="00177491" w:rsidRPr="00EB6871" w:rsidRDefault="00177491" w:rsidP="00FA1E85">
      <w:pPr>
        <w:jc w:val="left"/>
      </w:pPr>
      <w:r w:rsidRPr="00EB6871">
        <w:t>Las actividades del ON5G pasan por compartir las experiencias de los pilotos y casos de uso relacionados con 5G que se realicen a nivel nacional, agrupando experiencias internacionales, así como también contribuir a la estandarización e innovación de estos.</w:t>
      </w:r>
    </w:p>
    <w:p w14:paraId="50C89260" w14:textId="32B04806" w:rsidR="00177491" w:rsidRPr="00EB6871" w:rsidRDefault="00177491" w:rsidP="00FA1E85">
      <w:pPr>
        <w:jc w:val="left"/>
      </w:pPr>
      <w:r w:rsidRPr="00EB6871">
        <w:t>Este programa también tiene como objetivo asistir a la Oficina Técnica del Plan Nacional 5G en su labor de coordinación de las sinergias público-privadas y en el despliegue de redes y servicios 5G.</w:t>
      </w:r>
    </w:p>
    <w:p w14:paraId="6E5F0A78" w14:textId="22516CF2" w:rsidR="00177491" w:rsidRPr="00EB6871" w:rsidRDefault="00177491" w:rsidP="00FA1E85">
      <w:pPr>
        <w:jc w:val="left"/>
      </w:pPr>
      <w:r w:rsidRPr="00EB6871">
        <w:t>El presupuesto 202</w:t>
      </w:r>
      <w:r w:rsidR="0079102B">
        <w:t>2</w:t>
      </w:r>
      <w:r w:rsidRPr="00EB6871">
        <w:t xml:space="preserve"> para el Observatorio Nacional 5G es de </w:t>
      </w:r>
      <w:r w:rsidR="0079102B">
        <w:t>600</w:t>
      </w:r>
      <w:r w:rsidRPr="00EB6871">
        <w:t xml:space="preserve"> k€ que </w:t>
      </w:r>
      <w:r w:rsidR="005244A4">
        <w:t xml:space="preserve">se prevén que </w:t>
      </w:r>
      <w:r w:rsidRPr="00EB6871">
        <w:t>est</w:t>
      </w:r>
      <w:r w:rsidR="005244A4">
        <w:t>arán</w:t>
      </w:r>
      <w:r w:rsidRPr="00EB6871">
        <w:t xml:space="preserve"> 100% sufragados por </w:t>
      </w:r>
      <w:r w:rsidR="005244A4">
        <w:t xml:space="preserve">el nuevo convenio con la </w:t>
      </w:r>
      <w:r w:rsidRPr="00EB6871">
        <w:t>aportación pública en forma de subvención por la Secretaría de Estado para el Avance Digital y la Entidad Pública Empresarial Red.es, M.P.</w:t>
      </w:r>
    </w:p>
    <w:p w14:paraId="4F218E23" w14:textId="77777777" w:rsidR="00177491" w:rsidRPr="00EB6871" w:rsidRDefault="00177491" w:rsidP="00FA1E85">
      <w:pPr>
        <w:jc w:val="left"/>
      </w:pPr>
      <w:r w:rsidRPr="00EB6871">
        <w:t>Los costes se explican en las siguientes partidas:</w:t>
      </w:r>
    </w:p>
    <w:p w14:paraId="6F8009FC" w14:textId="5B60EFCA" w:rsidR="00177491" w:rsidRPr="00EB6871" w:rsidRDefault="00177491" w:rsidP="00FA1E85">
      <w:pPr>
        <w:pStyle w:val="Prrafodelista"/>
        <w:numPr>
          <w:ilvl w:val="0"/>
          <w:numId w:val="15"/>
        </w:numPr>
        <w:jc w:val="left"/>
      </w:pPr>
      <w:r w:rsidRPr="00EB6871">
        <w:lastRenderedPageBreak/>
        <w:t>Estudios e informes/reportes: (</w:t>
      </w:r>
      <w:r w:rsidR="005244A4">
        <w:t>65</w:t>
      </w:r>
      <w:r w:rsidRPr="00EB6871">
        <w:t xml:space="preserve"> k€)</w:t>
      </w:r>
    </w:p>
    <w:p w14:paraId="24C39776" w14:textId="77777777" w:rsidR="00BF2228" w:rsidRPr="00EB6871" w:rsidRDefault="00BF2228" w:rsidP="00FA1E85">
      <w:pPr>
        <w:pStyle w:val="Prrafodelista"/>
        <w:jc w:val="left"/>
      </w:pPr>
    </w:p>
    <w:p w14:paraId="4DCCCA1A" w14:textId="247ED8BA" w:rsidR="00177491" w:rsidRPr="00EB6871" w:rsidRDefault="00177491" w:rsidP="00FA1E85">
      <w:pPr>
        <w:pStyle w:val="Prrafodelista"/>
        <w:numPr>
          <w:ilvl w:val="0"/>
          <w:numId w:val="15"/>
        </w:numPr>
        <w:jc w:val="left"/>
      </w:pPr>
      <w:r w:rsidRPr="00EB6871">
        <w:t>Seminarios y Jornadas (</w:t>
      </w:r>
      <w:r w:rsidR="005244A4">
        <w:t>168</w:t>
      </w:r>
      <w:r w:rsidRPr="00EB6871">
        <w:t xml:space="preserve"> k€)</w:t>
      </w:r>
    </w:p>
    <w:p w14:paraId="652965B9" w14:textId="77777777" w:rsidR="00BF2228" w:rsidRPr="00EB6871" w:rsidRDefault="00BF2228" w:rsidP="00FA1E85">
      <w:pPr>
        <w:pStyle w:val="Prrafodelista"/>
        <w:jc w:val="left"/>
      </w:pPr>
    </w:p>
    <w:p w14:paraId="44722076" w14:textId="2972069B" w:rsidR="00177491" w:rsidRPr="00EB6871" w:rsidRDefault="00177491" w:rsidP="00FA1E85">
      <w:pPr>
        <w:pStyle w:val="Prrafodelista"/>
        <w:numPr>
          <w:ilvl w:val="0"/>
          <w:numId w:val="15"/>
        </w:numPr>
        <w:jc w:val="left"/>
      </w:pPr>
      <w:r w:rsidRPr="00EB6871">
        <w:t>Marketing y Comunicación (</w:t>
      </w:r>
      <w:r w:rsidR="005244A4">
        <w:t>347</w:t>
      </w:r>
      <w:r w:rsidRPr="00EB6871">
        <w:t xml:space="preserve"> k€)</w:t>
      </w:r>
    </w:p>
    <w:p w14:paraId="6954209D" w14:textId="77777777" w:rsidR="00177491" w:rsidRPr="00EB6871" w:rsidRDefault="00177491" w:rsidP="00F24BAE">
      <w:pPr>
        <w:jc w:val="left"/>
      </w:pPr>
    </w:p>
    <w:p w14:paraId="67784ECD" w14:textId="77777777" w:rsidR="00177491" w:rsidRPr="00EB6871" w:rsidRDefault="00177491" w:rsidP="00F24BAE">
      <w:pPr>
        <w:pStyle w:val="Ttulo2"/>
        <w:jc w:val="left"/>
      </w:pPr>
      <w:bookmarkStart w:id="19" w:name="_Toc85297126"/>
      <w:r w:rsidRPr="00EB6871">
        <w:t>5.5. Marketing y Comunicación Corporativo (incluye eventos)</w:t>
      </w:r>
      <w:bookmarkEnd w:id="19"/>
    </w:p>
    <w:tbl>
      <w:tblPr>
        <w:tblpPr w:leftFromText="141" w:rightFromText="141" w:vertAnchor="page" w:horzAnchor="margin" w:tblpXSpec="center" w:tblpY="4440"/>
        <w:tblW w:w="5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2865"/>
      </w:tblGrid>
      <w:tr w:rsidR="005244A4" w:rsidRPr="00AF0DC9" w14:paraId="56D1AB28" w14:textId="77777777" w:rsidTr="005244A4">
        <w:trPr>
          <w:trHeight w:val="300"/>
        </w:trPr>
        <w:tc>
          <w:tcPr>
            <w:tcW w:w="5835" w:type="dxa"/>
            <w:gridSpan w:val="2"/>
            <w:tcBorders>
              <w:top w:val="single" w:sz="6" w:space="0" w:color="FFFFFF"/>
              <w:left w:val="single" w:sz="6" w:space="0" w:color="FFFFFF"/>
              <w:bottom w:val="single" w:sz="24" w:space="0" w:color="FFFFFF"/>
              <w:right w:val="single" w:sz="6" w:space="0" w:color="FFFFFF"/>
            </w:tcBorders>
            <w:shd w:val="clear" w:color="auto" w:fill="E32333"/>
            <w:hideMark/>
          </w:tcPr>
          <w:p w14:paraId="4D65D60E" w14:textId="77777777" w:rsidR="005244A4" w:rsidRPr="007027B8" w:rsidRDefault="005244A4" w:rsidP="005244A4">
            <w:pPr>
              <w:jc w:val="left"/>
              <w:rPr>
                <w:rStyle w:val="nfasissutil"/>
              </w:rPr>
            </w:pPr>
            <w:r w:rsidRPr="007027B8">
              <w:rPr>
                <w:rStyle w:val="nfasissutil"/>
                <w:color w:val="FFFFFF" w:themeColor="background1"/>
              </w:rPr>
              <w:t>MARKETING Y COMUNICACIÓN CORPORATIVO</w:t>
            </w:r>
          </w:p>
        </w:tc>
      </w:tr>
      <w:tr w:rsidR="005244A4" w:rsidRPr="00AF0DC9" w14:paraId="4BE1B89E" w14:textId="77777777" w:rsidTr="005244A4">
        <w:trPr>
          <w:trHeight w:val="300"/>
        </w:trPr>
        <w:tc>
          <w:tcPr>
            <w:tcW w:w="2970" w:type="dxa"/>
            <w:tcBorders>
              <w:top w:val="single" w:sz="24" w:space="0" w:color="FFFFFF"/>
              <w:left w:val="single" w:sz="6" w:space="0" w:color="FFFFFF"/>
              <w:bottom w:val="single" w:sz="6" w:space="0" w:color="FFFFFF"/>
              <w:right w:val="single" w:sz="6" w:space="0" w:color="FFFFFF"/>
            </w:tcBorders>
            <w:shd w:val="clear" w:color="auto" w:fill="D9D9D9"/>
            <w:vAlign w:val="bottom"/>
            <w:hideMark/>
          </w:tcPr>
          <w:p w14:paraId="449FEFBA" w14:textId="77777777" w:rsidR="005244A4" w:rsidRPr="00AF0DC9" w:rsidRDefault="005244A4" w:rsidP="005244A4">
            <w:pPr>
              <w:jc w:val="left"/>
              <w:rPr>
                <w:rFonts w:eastAsia="Times New Roman" w:cs="Segoe UI"/>
                <w:sz w:val="18"/>
                <w:szCs w:val="18"/>
              </w:rPr>
            </w:pPr>
            <w:r w:rsidRPr="00AF0DC9">
              <w:rPr>
                <w:sz w:val="18"/>
                <w:szCs w:val="18"/>
              </w:rPr>
              <w:t>Ingresos actividades</w:t>
            </w:r>
          </w:p>
        </w:tc>
        <w:tc>
          <w:tcPr>
            <w:tcW w:w="2865" w:type="dxa"/>
            <w:tcBorders>
              <w:top w:val="single" w:sz="24" w:space="0" w:color="FFFFFF"/>
              <w:left w:val="single" w:sz="6" w:space="0" w:color="FFFFFF"/>
              <w:bottom w:val="single" w:sz="6" w:space="0" w:color="FFFFFF"/>
              <w:right w:val="single" w:sz="6" w:space="0" w:color="FFFFFF"/>
            </w:tcBorders>
            <w:shd w:val="clear" w:color="auto" w:fill="D9D9D9"/>
            <w:vAlign w:val="bottom"/>
            <w:hideMark/>
          </w:tcPr>
          <w:p w14:paraId="46BC9660" w14:textId="0A6DB673" w:rsidR="005244A4" w:rsidRPr="00AF0DC9" w:rsidRDefault="00881E6A" w:rsidP="005244A4">
            <w:pPr>
              <w:jc w:val="left"/>
              <w:rPr>
                <w:sz w:val="18"/>
                <w:szCs w:val="18"/>
              </w:rPr>
            </w:pPr>
            <w:r>
              <w:rPr>
                <w:sz w:val="18"/>
                <w:szCs w:val="18"/>
              </w:rPr>
              <w:t>3</w:t>
            </w:r>
            <w:r w:rsidR="006661B2">
              <w:rPr>
                <w:sz w:val="18"/>
                <w:szCs w:val="18"/>
              </w:rPr>
              <w:t>75</w:t>
            </w:r>
            <w:r w:rsidR="005244A4" w:rsidRPr="00AF0DC9">
              <w:rPr>
                <w:sz w:val="18"/>
                <w:szCs w:val="18"/>
              </w:rPr>
              <w:t xml:space="preserve"> K€</w:t>
            </w:r>
          </w:p>
        </w:tc>
      </w:tr>
      <w:tr w:rsidR="005244A4" w:rsidRPr="00AF0DC9" w14:paraId="47F1137F" w14:textId="77777777" w:rsidTr="005244A4">
        <w:trPr>
          <w:trHeight w:val="300"/>
        </w:trPr>
        <w:tc>
          <w:tcPr>
            <w:tcW w:w="2970" w:type="dxa"/>
            <w:tcBorders>
              <w:top w:val="single" w:sz="6" w:space="0" w:color="FFFFFF"/>
              <w:left w:val="single" w:sz="6" w:space="0" w:color="FFFFFF"/>
              <w:bottom w:val="single" w:sz="6" w:space="0" w:color="FFFFFF"/>
              <w:right w:val="single" w:sz="6" w:space="0" w:color="FFFFFF"/>
            </w:tcBorders>
            <w:shd w:val="clear" w:color="auto" w:fill="D9D9D9"/>
            <w:vAlign w:val="bottom"/>
            <w:hideMark/>
          </w:tcPr>
          <w:p w14:paraId="2D7453C6" w14:textId="77777777" w:rsidR="005244A4" w:rsidRPr="00AF0DC9" w:rsidRDefault="005244A4" w:rsidP="005244A4">
            <w:pPr>
              <w:jc w:val="left"/>
              <w:rPr>
                <w:rFonts w:eastAsia="Times New Roman" w:cs="Segoe UI"/>
                <w:sz w:val="18"/>
                <w:szCs w:val="18"/>
              </w:rPr>
            </w:pPr>
            <w:r w:rsidRPr="00AF0DC9">
              <w:rPr>
                <w:sz w:val="18"/>
                <w:szCs w:val="18"/>
              </w:rPr>
              <w:t>Gastos actividades</w:t>
            </w:r>
            <w:r w:rsidRPr="00AF0DC9">
              <w:rPr>
                <w:rFonts w:eastAsia="Times New Roman" w:cs="Segoe UI"/>
                <w:sz w:val="18"/>
                <w:szCs w:val="18"/>
              </w:rPr>
              <w:t xml:space="preserve"> </w:t>
            </w:r>
          </w:p>
        </w:tc>
        <w:tc>
          <w:tcPr>
            <w:tcW w:w="2865" w:type="dxa"/>
            <w:tcBorders>
              <w:top w:val="single" w:sz="6" w:space="0" w:color="FFFFFF"/>
              <w:left w:val="single" w:sz="6" w:space="0" w:color="FFFFFF"/>
              <w:bottom w:val="single" w:sz="6" w:space="0" w:color="FFFFFF"/>
              <w:right w:val="single" w:sz="6" w:space="0" w:color="FFFFFF"/>
            </w:tcBorders>
            <w:shd w:val="clear" w:color="auto" w:fill="D9D9D9"/>
            <w:vAlign w:val="bottom"/>
            <w:hideMark/>
          </w:tcPr>
          <w:p w14:paraId="62BEAC9E" w14:textId="62ADE430" w:rsidR="005244A4" w:rsidRPr="00AF0DC9" w:rsidRDefault="005244A4" w:rsidP="005244A4">
            <w:pPr>
              <w:jc w:val="left"/>
              <w:rPr>
                <w:rFonts w:eastAsia="Times New Roman" w:cs="Segoe UI"/>
                <w:sz w:val="18"/>
                <w:szCs w:val="18"/>
              </w:rPr>
            </w:pPr>
            <w:r w:rsidRPr="00AF0DC9">
              <w:rPr>
                <w:sz w:val="18"/>
                <w:szCs w:val="18"/>
              </w:rPr>
              <w:t>-</w:t>
            </w:r>
            <w:r w:rsidR="00881E6A">
              <w:rPr>
                <w:sz w:val="18"/>
                <w:szCs w:val="18"/>
              </w:rPr>
              <w:t>1.326</w:t>
            </w:r>
            <w:r w:rsidRPr="00AF0DC9">
              <w:rPr>
                <w:sz w:val="18"/>
                <w:szCs w:val="18"/>
              </w:rPr>
              <w:t xml:space="preserve"> K€</w:t>
            </w:r>
          </w:p>
        </w:tc>
      </w:tr>
    </w:tbl>
    <w:p w14:paraId="52A2AD7E" w14:textId="14421A31" w:rsidR="00BF2228" w:rsidRPr="00EB6871" w:rsidRDefault="00BF2228" w:rsidP="00F24BAE">
      <w:pPr>
        <w:jc w:val="left"/>
        <w:rPr>
          <w:lang w:eastAsia="es-ES"/>
        </w:rPr>
      </w:pPr>
    </w:p>
    <w:p w14:paraId="46F38AD7" w14:textId="619A6D07" w:rsidR="00E3269D" w:rsidRDefault="00E3269D" w:rsidP="00F24BAE">
      <w:pPr>
        <w:jc w:val="left"/>
        <w:rPr>
          <w:lang w:eastAsia="es-ES"/>
        </w:rPr>
      </w:pPr>
    </w:p>
    <w:p w14:paraId="7C5589F2" w14:textId="77777777" w:rsidR="00DB46CD" w:rsidRPr="00EB6871" w:rsidRDefault="00DB46CD" w:rsidP="00F24BAE">
      <w:pPr>
        <w:jc w:val="left"/>
        <w:rPr>
          <w:lang w:eastAsia="es-ES"/>
        </w:rPr>
      </w:pPr>
    </w:p>
    <w:p w14:paraId="71121AC8" w14:textId="77777777" w:rsidR="004A7FDB" w:rsidRPr="00EB6871" w:rsidRDefault="004A7FDB" w:rsidP="00F24BAE">
      <w:pPr>
        <w:jc w:val="left"/>
        <w:rPr>
          <w:lang w:eastAsia="es-ES"/>
        </w:rPr>
      </w:pPr>
    </w:p>
    <w:p w14:paraId="65D9BC3A" w14:textId="77777777" w:rsidR="00E3269D" w:rsidRPr="009109DE" w:rsidRDefault="00E3269D" w:rsidP="009109DE">
      <w:pPr>
        <w:jc w:val="center"/>
        <w:rPr>
          <w:sz w:val="14"/>
          <w:szCs w:val="14"/>
        </w:rPr>
      </w:pPr>
      <w:r w:rsidRPr="009109DE">
        <w:rPr>
          <w:sz w:val="14"/>
          <w:szCs w:val="14"/>
        </w:rPr>
        <w:t>* Sin tener en cuenta costes de personal</w:t>
      </w:r>
    </w:p>
    <w:p w14:paraId="21626740" w14:textId="2ADC810B" w:rsidR="00177491" w:rsidRPr="00EB6871" w:rsidRDefault="00177491" w:rsidP="00FA1E85">
      <w:pPr>
        <w:jc w:val="left"/>
      </w:pPr>
      <w:r w:rsidRPr="00EB6871">
        <w:t>Elemento clave en la difusión y posicionamiento de la marca Mobile World Capital Barcelona, así como de los programas que se ejecutan desde la Fundación. A continuación, se detalla la dotación presupuestaria para 202</w:t>
      </w:r>
      <w:r w:rsidR="00966AF0">
        <w:t>2</w:t>
      </w:r>
      <w:r w:rsidRPr="00EB6871">
        <w:t xml:space="preserve"> en materia de prensa</w:t>
      </w:r>
      <w:r w:rsidR="00DB46CD">
        <w:t xml:space="preserve"> y </w:t>
      </w:r>
      <w:r w:rsidRPr="00EB6871">
        <w:t xml:space="preserve">relaciones públicas </w:t>
      </w:r>
      <w:r w:rsidR="00DB46CD">
        <w:t xml:space="preserve">y </w:t>
      </w:r>
      <w:r w:rsidRPr="00EB6871">
        <w:t>marketing corporativo:</w:t>
      </w:r>
    </w:p>
    <w:p w14:paraId="77F5A1F2" w14:textId="5C50E36E" w:rsidR="00177491" w:rsidRPr="00EB6871" w:rsidRDefault="00177491" w:rsidP="00FA1E85">
      <w:pPr>
        <w:pStyle w:val="Prrafodelista"/>
        <w:numPr>
          <w:ilvl w:val="0"/>
          <w:numId w:val="16"/>
        </w:numPr>
        <w:jc w:val="left"/>
      </w:pPr>
      <w:r w:rsidRPr="003B086D">
        <w:rPr>
          <w:rStyle w:val="nfasissutil"/>
        </w:rPr>
        <w:t>Prensa y Relaciones Públicas:</w:t>
      </w:r>
      <w:r w:rsidRPr="00EB6871">
        <w:t xml:space="preserve"> el gasto presupuestado es de </w:t>
      </w:r>
      <w:r w:rsidR="00966AF0">
        <w:t>392</w:t>
      </w:r>
      <w:r w:rsidRPr="00EB6871">
        <w:t>k€ y corresponde a los servicios de agencias de comunicación, contratación del servicio de seguimiento de impactos de prensa en medios (clipping), así como materiales y cuotas de asociación como, por ejemplo, Ametic, Barcelona Tech City y DigitalEs</w:t>
      </w:r>
    </w:p>
    <w:p w14:paraId="4F7EFFF3" w14:textId="77777777" w:rsidR="00BF2228" w:rsidRPr="00EB6871" w:rsidRDefault="00BF2228" w:rsidP="00FA1E85">
      <w:pPr>
        <w:pStyle w:val="Prrafodelista"/>
        <w:jc w:val="left"/>
      </w:pPr>
    </w:p>
    <w:p w14:paraId="722923CE" w14:textId="50C35400" w:rsidR="00681013" w:rsidRPr="00EB6871" w:rsidRDefault="00177491" w:rsidP="00FA1E85">
      <w:pPr>
        <w:pStyle w:val="Prrafodelista"/>
        <w:numPr>
          <w:ilvl w:val="0"/>
          <w:numId w:val="16"/>
        </w:numPr>
        <w:jc w:val="left"/>
      </w:pPr>
      <w:r w:rsidRPr="003B086D">
        <w:rPr>
          <w:rStyle w:val="nfasissutil"/>
        </w:rPr>
        <w:t>Marketing Corporativo</w:t>
      </w:r>
      <w:r w:rsidRPr="00EB6871">
        <w:t xml:space="preserve">: los </w:t>
      </w:r>
      <w:r w:rsidR="00B852EE">
        <w:t>214</w:t>
      </w:r>
      <w:r w:rsidRPr="00EB6871">
        <w:t xml:space="preserve"> k€ presupuestados en 202</w:t>
      </w:r>
      <w:r w:rsidR="00B852EE">
        <w:t>2</w:t>
      </w:r>
      <w:r w:rsidRPr="00EB6871">
        <w:t xml:space="preserve"> incluyen gastos para agencias de marketing creativo (</w:t>
      </w:r>
      <w:r w:rsidR="005A6BEC">
        <w:t>106</w:t>
      </w:r>
      <w:r w:rsidRPr="00EB6871">
        <w:t xml:space="preserve"> k€), marketing digital (</w:t>
      </w:r>
      <w:r w:rsidR="005A6BEC">
        <w:t>57</w:t>
      </w:r>
      <w:r w:rsidRPr="00EB6871">
        <w:t xml:space="preserve"> k€), </w:t>
      </w:r>
      <w:r w:rsidR="00391C94">
        <w:t>campañas en medios digitales</w:t>
      </w:r>
      <w:r w:rsidRPr="00EB6871">
        <w:t xml:space="preserve"> (</w:t>
      </w:r>
      <w:r w:rsidR="00391C94">
        <w:t>15</w:t>
      </w:r>
      <w:r w:rsidRPr="00EB6871">
        <w:t xml:space="preserve"> k€), mantenimiento SEO (</w:t>
      </w:r>
      <w:r w:rsidR="00B852EE">
        <w:t>12</w:t>
      </w:r>
      <w:r w:rsidRPr="00EB6871">
        <w:t>k €), impresiones,</w:t>
      </w:r>
      <w:r w:rsidR="00681013" w:rsidRPr="00EB6871">
        <w:t xml:space="preserve"> </w:t>
      </w:r>
      <w:r w:rsidRPr="00EB6871">
        <w:t>traducciones (</w:t>
      </w:r>
      <w:r w:rsidR="005A6BEC">
        <w:t>4</w:t>
      </w:r>
      <w:r w:rsidRPr="00EB6871">
        <w:t xml:space="preserve">k€), así como </w:t>
      </w:r>
      <w:r w:rsidR="00735981">
        <w:t xml:space="preserve">mailing </w:t>
      </w:r>
      <w:r w:rsidR="003B7BA1" w:rsidRPr="00EB6871">
        <w:t>(</w:t>
      </w:r>
      <w:r w:rsidR="00735981">
        <w:t>20</w:t>
      </w:r>
      <w:r w:rsidR="003B7BA1" w:rsidRPr="00EB6871">
        <w:t>k€).</w:t>
      </w:r>
      <w:r w:rsidR="00681013" w:rsidRPr="00EB6871">
        <w:t xml:space="preserve"> Estos gastos dan soporte a todos los programas de la Fundación y con esta consolidación se han conseguido eficiencias y reducción de costes. </w:t>
      </w:r>
    </w:p>
    <w:p w14:paraId="44834320" w14:textId="42127B58" w:rsidR="00177491" w:rsidRPr="00EB6871" w:rsidRDefault="00177491" w:rsidP="00FA1E85">
      <w:pPr>
        <w:jc w:val="left"/>
      </w:pPr>
      <w:r w:rsidRPr="00EB6871">
        <w:t>Además, en esta partida se reflejan los costes de los siguientes eventos que se realizarán durante el año 202</w:t>
      </w:r>
      <w:r w:rsidR="00735981">
        <w:t>2</w:t>
      </w:r>
      <w:r w:rsidR="00F874CF">
        <w:t>:</w:t>
      </w:r>
    </w:p>
    <w:p w14:paraId="3F83934A" w14:textId="6161F4FE" w:rsidR="00177491" w:rsidRPr="003B086D" w:rsidRDefault="00177491" w:rsidP="00FA1E85">
      <w:pPr>
        <w:spacing w:after="0"/>
        <w:ind w:left="709"/>
        <w:jc w:val="left"/>
      </w:pPr>
      <w:r w:rsidRPr="003B086D">
        <w:t xml:space="preserve">a. </w:t>
      </w:r>
      <w:r w:rsidR="00DB46CD" w:rsidRPr="003B086D">
        <w:t>MWC Barcelona</w:t>
      </w:r>
    </w:p>
    <w:p w14:paraId="311C1130" w14:textId="7307B264" w:rsidR="00177491" w:rsidRPr="003B086D" w:rsidRDefault="00177491" w:rsidP="00FA1E85">
      <w:pPr>
        <w:spacing w:after="0"/>
        <w:ind w:left="709"/>
        <w:jc w:val="left"/>
      </w:pPr>
      <w:r w:rsidRPr="003B086D">
        <w:t>b. Mobile Talks</w:t>
      </w:r>
    </w:p>
    <w:p w14:paraId="60729AA8" w14:textId="095399CC" w:rsidR="00177491" w:rsidRPr="00EB6871" w:rsidRDefault="00177491" w:rsidP="00FA1E85">
      <w:pPr>
        <w:spacing w:after="0"/>
        <w:ind w:left="709"/>
        <w:jc w:val="left"/>
      </w:pPr>
      <w:r w:rsidRPr="00EB6871">
        <w:t>c. Mobile Lunch</w:t>
      </w:r>
    </w:p>
    <w:p w14:paraId="27A3F6C6" w14:textId="77777777" w:rsidR="00177491" w:rsidRPr="00EB6871" w:rsidRDefault="00177491" w:rsidP="00FA1E85">
      <w:pPr>
        <w:spacing w:after="0"/>
        <w:ind w:left="709"/>
        <w:jc w:val="left"/>
      </w:pPr>
      <w:r w:rsidRPr="00EB6871">
        <w:t>d. Viajes y notas de gasto</w:t>
      </w:r>
    </w:p>
    <w:p w14:paraId="38C9CCC3" w14:textId="77777777" w:rsidR="001D4393" w:rsidRDefault="001D4393" w:rsidP="00FA1E85">
      <w:pPr>
        <w:jc w:val="left"/>
      </w:pPr>
    </w:p>
    <w:p w14:paraId="7DFD0206" w14:textId="3ED62803" w:rsidR="00177491" w:rsidRPr="00EB6871" w:rsidRDefault="00177491" w:rsidP="00FA1E85">
      <w:pPr>
        <w:jc w:val="left"/>
      </w:pPr>
      <w:r w:rsidRPr="00EB6871">
        <w:t xml:space="preserve">Cabe destacar que, en virtud del Host City Parties Agreement, </w:t>
      </w:r>
      <w:r w:rsidR="00D90F33">
        <w:t>MWCapital</w:t>
      </w:r>
      <w:r w:rsidRPr="00EB6871">
        <w:t xml:space="preserve"> tiene unos derechos económicos derivados de la venta de inventario publicitario, en el marco de </w:t>
      </w:r>
      <w:r w:rsidR="00CA7B9E">
        <w:t>MWC</w:t>
      </w:r>
      <w:r w:rsidRPr="00EB6871">
        <w:t xml:space="preserve">. Debido a las condiciones para la ejecución de esos derechos y a la falta de </w:t>
      </w:r>
      <w:r w:rsidRPr="00EB6871">
        <w:lastRenderedPageBreak/>
        <w:t>capacidades de la Fundación, en 2014 se firmó un acuerdo con GSMA para que se pudiera vender el inventario y repartir las ganancias de estos espacios.</w:t>
      </w:r>
    </w:p>
    <w:p w14:paraId="7BEFC2AA" w14:textId="0EF4425C" w:rsidR="009109DE" w:rsidRDefault="00177491" w:rsidP="004E4254">
      <w:pPr>
        <w:jc w:val="left"/>
      </w:pPr>
      <w:r w:rsidRPr="00EB6871">
        <w:t>El total de los gastos asociados a realizar los eventos que se detallarán a continuación suma un total de 6</w:t>
      </w:r>
      <w:r w:rsidR="0013433C">
        <w:t>28</w:t>
      </w:r>
      <w:r w:rsidRPr="00EB6871">
        <w:t xml:space="preserve"> k€</w:t>
      </w:r>
    </w:p>
    <w:p w14:paraId="2B4A7607" w14:textId="77777777" w:rsidR="00BF2228" w:rsidRPr="00EB6871" w:rsidRDefault="00BF2228" w:rsidP="00FA1E85">
      <w:pPr>
        <w:jc w:val="left"/>
      </w:pPr>
    </w:p>
    <w:p w14:paraId="4C1B5866" w14:textId="6130ADD7" w:rsidR="00BF2228" w:rsidRDefault="00CA7B9E" w:rsidP="00E925D5">
      <w:pPr>
        <w:pStyle w:val="Prrafodelista"/>
        <w:numPr>
          <w:ilvl w:val="0"/>
          <w:numId w:val="17"/>
        </w:numPr>
        <w:jc w:val="left"/>
      </w:pPr>
      <w:r w:rsidRPr="003B086D">
        <w:rPr>
          <w:rStyle w:val="nfasissutil"/>
        </w:rPr>
        <w:t>MWC Barcelona</w:t>
      </w:r>
      <w:r w:rsidR="00305BE2">
        <w:rPr>
          <w:rStyle w:val="nfasissutil"/>
        </w:rPr>
        <w:t xml:space="preserve"> 2022 y 4YFN</w:t>
      </w:r>
      <w:r w:rsidR="00177491" w:rsidRPr="002A0944">
        <w:rPr>
          <w:b/>
          <w:bCs/>
        </w:rPr>
        <w:t>:</w:t>
      </w:r>
      <w:r w:rsidR="00177491" w:rsidRPr="00EB6871">
        <w:t xml:space="preserve"> En el año 202</w:t>
      </w:r>
      <w:r w:rsidR="0013433C">
        <w:t>2</w:t>
      </w:r>
      <w:r w:rsidR="00177491" w:rsidRPr="00EB6871">
        <w:t xml:space="preserve"> se ha presupuestado </w:t>
      </w:r>
      <w:r w:rsidR="00305BE2">
        <w:t>261</w:t>
      </w:r>
      <w:r w:rsidR="00177491" w:rsidRPr="00EB6871">
        <w:t xml:space="preserve"> k€ para el stand y las actividades de </w:t>
      </w:r>
      <w:r>
        <w:t>MWCapital</w:t>
      </w:r>
      <w:r w:rsidR="00177491" w:rsidRPr="00EB6871">
        <w:t xml:space="preserve"> durante MWC. El stand de la Fundación sirve para mostrar las actividades realizadas durante todo el año y para que entidades colaboradoras y Patronos también den visibilidad a su actividad. Además,</w:t>
      </w:r>
      <w:r w:rsidR="003B7BA1" w:rsidRPr="00EB6871">
        <w:t xml:space="preserve"> les proponemos</w:t>
      </w:r>
      <w:r w:rsidR="00177491" w:rsidRPr="00EB6871">
        <w:t xml:space="preserve"> participar en, workshops, conferencias, entre otros.</w:t>
      </w:r>
      <w:r w:rsidR="000F7FAC" w:rsidRPr="00EB6871">
        <w:t xml:space="preserve"> </w:t>
      </w:r>
    </w:p>
    <w:p w14:paraId="2389E8DA" w14:textId="77777777" w:rsidR="002A0944" w:rsidRPr="00EB6871" w:rsidRDefault="002A0944" w:rsidP="002A0944">
      <w:pPr>
        <w:pStyle w:val="Prrafodelista"/>
        <w:jc w:val="left"/>
      </w:pPr>
    </w:p>
    <w:p w14:paraId="6ADEED02" w14:textId="36C323F2" w:rsidR="00BF2228" w:rsidRPr="00EB6871" w:rsidRDefault="00177491" w:rsidP="00FA1E85">
      <w:pPr>
        <w:pStyle w:val="Prrafodelista"/>
        <w:jc w:val="left"/>
      </w:pPr>
      <w:r w:rsidRPr="00EB6871">
        <w:t xml:space="preserve">La Fundación contará con espacio propio en 4YFN donde mostrará a la comunidad emprendedora sus actividades y acogerá actividades orientadas a que los visitantes de MWC se interesen en descubrir, entender y colaborar con las startups del evento. Para sufragar estos costes se destinan </w:t>
      </w:r>
      <w:r w:rsidR="002A0944">
        <w:t>64</w:t>
      </w:r>
      <w:r w:rsidRPr="00EB6871">
        <w:t xml:space="preserve"> k€.</w:t>
      </w:r>
    </w:p>
    <w:p w14:paraId="34A542CE" w14:textId="77777777" w:rsidR="00BF2228" w:rsidRPr="00EB6871" w:rsidRDefault="00BF2228" w:rsidP="00FA1E85">
      <w:pPr>
        <w:pStyle w:val="Prrafodelista"/>
        <w:jc w:val="left"/>
      </w:pPr>
    </w:p>
    <w:p w14:paraId="470FDC76" w14:textId="3B5B9970" w:rsidR="00BF2228" w:rsidRPr="00EB6871" w:rsidRDefault="00DA7574" w:rsidP="00FA1E85">
      <w:pPr>
        <w:pStyle w:val="Prrafodelista"/>
        <w:jc w:val="left"/>
      </w:pPr>
      <w:r>
        <w:t>MWCapital</w:t>
      </w:r>
      <w:r w:rsidR="00177491" w:rsidRPr="00EB6871">
        <w:t xml:space="preserve"> contribuye económicamente a sufragar los gastos de la cena de gala que se celebra el día antes de la inauguración de MWC, ofrecida por el Ayuntamiento y GSMA a 150 máximos representantes de las empresas y autoridades a nivel global y presidida por el Rey de España. La dotación presupuestaria para esta actividad es de </w:t>
      </w:r>
      <w:r w:rsidR="008A110B">
        <w:t>40</w:t>
      </w:r>
      <w:r w:rsidR="00177491" w:rsidRPr="00EB6871">
        <w:t xml:space="preserve"> k€.</w:t>
      </w:r>
    </w:p>
    <w:p w14:paraId="254E92E6" w14:textId="77777777" w:rsidR="00BF2228" w:rsidRPr="00EB6871" w:rsidRDefault="00BF2228" w:rsidP="00FA1E85">
      <w:pPr>
        <w:pStyle w:val="Prrafodelista"/>
        <w:jc w:val="left"/>
      </w:pPr>
    </w:p>
    <w:p w14:paraId="09BB3EC7" w14:textId="009F415C" w:rsidR="00BF2228" w:rsidRPr="00EB6871" w:rsidRDefault="00177491" w:rsidP="00FA1E85">
      <w:pPr>
        <w:pStyle w:val="Prrafodelista"/>
        <w:numPr>
          <w:ilvl w:val="0"/>
          <w:numId w:val="17"/>
        </w:numPr>
        <w:jc w:val="left"/>
      </w:pPr>
      <w:r w:rsidRPr="003B086D">
        <w:rPr>
          <w:rStyle w:val="nfasissutil"/>
        </w:rPr>
        <w:t>Mobile Talks</w:t>
      </w:r>
      <w:r w:rsidRPr="00EB6871">
        <w:t xml:space="preserve">: Eventos que invitan a la reflexión y el intercambio de conocimiento alrededor de los retos que plantea la transformación digital. Acerca a los expertos internacionales más destacados y propone un nuevo marco de debate e interacción que permite afrontar el reto digital con garantías. El presupuesto de gasto previsto para estas actividades es de </w:t>
      </w:r>
      <w:r w:rsidR="00454F8F">
        <w:t>27</w:t>
      </w:r>
      <w:r w:rsidRPr="00EB6871">
        <w:t>k €, y no se prevé obtener ingresos para financiarlo, a fecha de la creación de este informe.</w:t>
      </w:r>
    </w:p>
    <w:p w14:paraId="6D3569F3" w14:textId="77777777" w:rsidR="00BF2228" w:rsidRPr="00EB6871" w:rsidRDefault="00BF2228" w:rsidP="00FA1E85">
      <w:pPr>
        <w:pStyle w:val="Prrafodelista"/>
        <w:jc w:val="left"/>
      </w:pPr>
    </w:p>
    <w:p w14:paraId="3FE15A1C" w14:textId="0B766BB1" w:rsidR="00BF2228" w:rsidRPr="00EB6871" w:rsidRDefault="00177491" w:rsidP="00FA1E85">
      <w:pPr>
        <w:pStyle w:val="Prrafodelista"/>
        <w:numPr>
          <w:ilvl w:val="0"/>
          <w:numId w:val="17"/>
        </w:numPr>
        <w:jc w:val="left"/>
      </w:pPr>
      <w:r w:rsidRPr="003B086D">
        <w:rPr>
          <w:rStyle w:val="nfasissutil"/>
        </w:rPr>
        <w:t>Mobile Lunch</w:t>
      </w:r>
      <w:r w:rsidRPr="00EB6871">
        <w:rPr>
          <w:b/>
          <w:bCs/>
        </w:rPr>
        <w:t>:</w:t>
      </w:r>
      <w:r w:rsidRPr="00EB6871">
        <w:t xml:space="preserve"> Espacio relacional dirigido a la comunidad empresarial en el marco de </w:t>
      </w:r>
      <w:r w:rsidR="00E0507D">
        <w:t>MWC Barcelona</w:t>
      </w:r>
      <w:r w:rsidRPr="00EB6871">
        <w:t xml:space="preserve"> y 4YFN. Mobile Lunch Barcelona es el punto de encuentro para explorar las oportunidades de negocio del evento más importante de la industria móvil a nivel global.</w:t>
      </w:r>
    </w:p>
    <w:p w14:paraId="247F753D" w14:textId="77777777" w:rsidR="00BF2228" w:rsidRPr="00EB6871" w:rsidRDefault="00BF2228" w:rsidP="00FA1E85">
      <w:pPr>
        <w:pStyle w:val="Prrafodelista"/>
        <w:jc w:val="left"/>
      </w:pPr>
    </w:p>
    <w:p w14:paraId="2C3EF9E2" w14:textId="77777777" w:rsidR="00BF2228" w:rsidRPr="00EB6871" w:rsidRDefault="00177491" w:rsidP="00FA1E85">
      <w:pPr>
        <w:pStyle w:val="Prrafodelista"/>
        <w:jc w:val="left"/>
      </w:pPr>
      <w:r w:rsidRPr="00EB6871">
        <w:t>Dirigido a instituciones, corporaciones, pymes y emprendedores; Mobile Lunch reunirá por cuarto año consecutivo a la comunidad de Mobile World Capital Barcelona con el objetivo de compartir conocimiento alrededor del ámbito digital.</w:t>
      </w:r>
    </w:p>
    <w:p w14:paraId="694431A1" w14:textId="77777777" w:rsidR="00BF2228" w:rsidRPr="00EB6871" w:rsidRDefault="00BF2228" w:rsidP="00FA1E85">
      <w:pPr>
        <w:pStyle w:val="Prrafodelista"/>
        <w:jc w:val="left"/>
      </w:pPr>
    </w:p>
    <w:p w14:paraId="13839FD1" w14:textId="5C6EE325" w:rsidR="00BF2228" w:rsidRDefault="00177491" w:rsidP="00FA1E85">
      <w:pPr>
        <w:pStyle w:val="Prrafodelista"/>
        <w:jc w:val="left"/>
      </w:pPr>
      <w:r w:rsidRPr="00EB6871">
        <w:t xml:space="preserve">El presupuesto del evento es de </w:t>
      </w:r>
      <w:r w:rsidR="00CD18C4">
        <w:t>53</w:t>
      </w:r>
      <w:r w:rsidRPr="00EB6871">
        <w:t xml:space="preserve"> k€ </w:t>
      </w:r>
    </w:p>
    <w:p w14:paraId="250CE13A" w14:textId="7A293F4A" w:rsidR="003235B4" w:rsidRDefault="003235B4" w:rsidP="00FA1E85">
      <w:pPr>
        <w:pStyle w:val="Prrafodelista"/>
        <w:jc w:val="left"/>
      </w:pPr>
    </w:p>
    <w:p w14:paraId="1B6DF631" w14:textId="648A7676" w:rsidR="003235B4" w:rsidRDefault="003235B4" w:rsidP="00FA1E85">
      <w:pPr>
        <w:pStyle w:val="Prrafodelista"/>
        <w:jc w:val="left"/>
      </w:pPr>
    </w:p>
    <w:p w14:paraId="2EEF83B4" w14:textId="359C6D61" w:rsidR="003235B4" w:rsidRDefault="003235B4" w:rsidP="00FA1E85">
      <w:pPr>
        <w:pStyle w:val="Prrafodelista"/>
        <w:jc w:val="left"/>
      </w:pPr>
    </w:p>
    <w:p w14:paraId="4D1CE5AC" w14:textId="68A3E39B" w:rsidR="003235B4" w:rsidRDefault="003235B4" w:rsidP="00FA1E85">
      <w:pPr>
        <w:pStyle w:val="Prrafodelista"/>
        <w:jc w:val="left"/>
      </w:pPr>
    </w:p>
    <w:p w14:paraId="725F8F44" w14:textId="77777777" w:rsidR="003235B4" w:rsidRDefault="003235B4" w:rsidP="00FA1E85">
      <w:pPr>
        <w:pStyle w:val="Prrafodelista"/>
        <w:jc w:val="left"/>
      </w:pPr>
    </w:p>
    <w:p w14:paraId="6C4AE8BD" w14:textId="350D5528" w:rsidR="00F84A96" w:rsidRDefault="003235B4" w:rsidP="00C649BF">
      <w:pPr>
        <w:pStyle w:val="Prrafodelista"/>
        <w:numPr>
          <w:ilvl w:val="0"/>
          <w:numId w:val="17"/>
        </w:numPr>
        <w:jc w:val="left"/>
      </w:pPr>
      <w:r w:rsidRPr="00363DA8">
        <w:rPr>
          <w:rStyle w:val="nfasissutil"/>
        </w:rPr>
        <w:t xml:space="preserve">X aniversario Fundación: </w:t>
      </w:r>
      <w:r w:rsidR="00363DA8" w:rsidRPr="00877A42">
        <w:t xml:space="preserve">Con el motivo del X aniversario desde la constitución de la Fundación se realizarán </w:t>
      </w:r>
      <w:r w:rsidR="00877A42" w:rsidRPr="00877A42">
        <w:t xml:space="preserve">actividades, producción audiovisual y actos relacionados </w:t>
      </w:r>
      <w:r w:rsidR="001B4E82">
        <w:t>y se destinarán 218 k€ de la partida presupuestaria.</w:t>
      </w:r>
    </w:p>
    <w:p w14:paraId="04306798" w14:textId="77777777" w:rsidR="00F84A96" w:rsidRPr="00EB6871" w:rsidRDefault="00F84A96" w:rsidP="00FA1E85">
      <w:pPr>
        <w:pStyle w:val="Prrafodelista"/>
        <w:jc w:val="left"/>
      </w:pPr>
    </w:p>
    <w:p w14:paraId="390488EF" w14:textId="77777777" w:rsidR="00BF2228" w:rsidRPr="00EB6871" w:rsidRDefault="00BF2228" w:rsidP="00FA1E85">
      <w:pPr>
        <w:pStyle w:val="Prrafodelista"/>
        <w:jc w:val="left"/>
      </w:pPr>
    </w:p>
    <w:p w14:paraId="4A88B19B" w14:textId="0933268F" w:rsidR="00177491" w:rsidRPr="00EB6871" w:rsidRDefault="00177491" w:rsidP="00FA1E85">
      <w:pPr>
        <w:pStyle w:val="Prrafodelista"/>
        <w:numPr>
          <w:ilvl w:val="0"/>
          <w:numId w:val="17"/>
        </w:numPr>
        <w:jc w:val="left"/>
      </w:pPr>
      <w:r w:rsidRPr="003B086D">
        <w:rPr>
          <w:rStyle w:val="nfasissutil"/>
        </w:rPr>
        <w:t>Viajes y notas de gasto</w:t>
      </w:r>
      <w:r w:rsidRPr="00EB6871">
        <w:t xml:space="preserve">: Se ha presupuestado </w:t>
      </w:r>
      <w:r w:rsidR="001B4E82">
        <w:t>20</w:t>
      </w:r>
      <w:r w:rsidRPr="00EB6871">
        <w:t xml:space="preserve"> k€ en concepto de viajes y notas de gasto para hacer frente a las necesidades del personal que deberá viajar a los distintos eventos programados durante 202</w:t>
      </w:r>
      <w:r w:rsidR="001B4E82">
        <w:t>2</w:t>
      </w:r>
      <w:r w:rsidRPr="00EB6871">
        <w:t>.</w:t>
      </w:r>
    </w:p>
    <w:p w14:paraId="1A0C6FF7" w14:textId="060097DB" w:rsidR="00177491" w:rsidRPr="00EB6871" w:rsidRDefault="00177491" w:rsidP="00F24BAE">
      <w:pPr>
        <w:pStyle w:val="Ttulo2"/>
        <w:jc w:val="left"/>
      </w:pPr>
      <w:bookmarkStart w:id="20" w:name="_Toc85297127"/>
      <w:r w:rsidRPr="00EB6871">
        <w:t xml:space="preserve">5.6. </w:t>
      </w:r>
      <w:r w:rsidR="0065362D">
        <w:t>Proyectos Europeos</w:t>
      </w:r>
      <w:bookmarkEnd w:id="20"/>
    </w:p>
    <w:p w14:paraId="6A301BE3" w14:textId="77777777" w:rsidR="00177491" w:rsidRPr="00EB6871" w:rsidRDefault="00177491" w:rsidP="00F24BAE">
      <w:pPr>
        <w:jc w:val="left"/>
      </w:pPr>
    </w:p>
    <w:tbl>
      <w:tblPr>
        <w:tblpPr w:leftFromText="141" w:rightFromText="141" w:vertAnchor="page" w:horzAnchor="margin" w:tblpXSpec="center" w:tblpY="5654"/>
        <w:tblW w:w="5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2865"/>
      </w:tblGrid>
      <w:tr w:rsidR="00865153" w:rsidRPr="00EB6871" w14:paraId="3EBB896F" w14:textId="77777777" w:rsidTr="00865153">
        <w:trPr>
          <w:trHeight w:val="300"/>
        </w:trPr>
        <w:tc>
          <w:tcPr>
            <w:tcW w:w="5835" w:type="dxa"/>
            <w:gridSpan w:val="2"/>
            <w:tcBorders>
              <w:top w:val="single" w:sz="6" w:space="0" w:color="FFFFFF"/>
              <w:left w:val="single" w:sz="6" w:space="0" w:color="FFFFFF"/>
              <w:bottom w:val="single" w:sz="24" w:space="0" w:color="FFFFFF"/>
              <w:right w:val="single" w:sz="6" w:space="0" w:color="FFFFFF"/>
            </w:tcBorders>
            <w:shd w:val="clear" w:color="auto" w:fill="E32333"/>
            <w:hideMark/>
          </w:tcPr>
          <w:p w14:paraId="00FE8185" w14:textId="77777777" w:rsidR="00865153" w:rsidRPr="007027B8" w:rsidRDefault="00865153" w:rsidP="00865153">
            <w:pPr>
              <w:jc w:val="center"/>
              <w:rPr>
                <w:rStyle w:val="nfasissutil"/>
              </w:rPr>
            </w:pPr>
            <w:r>
              <w:rPr>
                <w:rStyle w:val="nfasissutil"/>
                <w:color w:val="FFFFFF" w:themeColor="background1"/>
              </w:rPr>
              <w:t>PROYECTOS EUROPEOS</w:t>
            </w:r>
          </w:p>
        </w:tc>
      </w:tr>
      <w:tr w:rsidR="00865153" w:rsidRPr="00EB6871" w14:paraId="66429692" w14:textId="77777777" w:rsidTr="00865153">
        <w:trPr>
          <w:trHeight w:val="300"/>
        </w:trPr>
        <w:tc>
          <w:tcPr>
            <w:tcW w:w="2970" w:type="dxa"/>
            <w:tcBorders>
              <w:top w:val="single" w:sz="24" w:space="0" w:color="FFFFFF"/>
              <w:left w:val="single" w:sz="6" w:space="0" w:color="FFFFFF"/>
              <w:bottom w:val="single" w:sz="6" w:space="0" w:color="FFFFFF"/>
              <w:right w:val="single" w:sz="6" w:space="0" w:color="FFFFFF"/>
            </w:tcBorders>
            <w:shd w:val="clear" w:color="auto" w:fill="D9D9D9"/>
            <w:vAlign w:val="bottom"/>
            <w:hideMark/>
          </w:tcPr>
          <w:p w14:paraId="3B94310E" w14:textId="77777777" w:rsidR="00865153" w:rsidRPr="00EB6871" w:rsidRDefault="00865153" w:rsidP="00865153">
            <w:pPr>
              <w:jc w:val="left"/>
              <w:rPr>
                <w:rFonts w:eastAsia="Times New Roman" w:cs="Segoe UI"/>
              </w:rPr>
            </w:pPr>
            <w:r w:rsidRPr="00EB6871">
              <w:t>Ingresos actividades</w:t>
            </w:r>
          </w:p>
        </w:tc>
        <w:tc>
          <w:tcPr>
            <w:tcW w:w="2865" w:type="dxa"/>
            <w:tcBorders>
              <w:top w:val="single" w:sz="24" w:space="0" w:color="FFFFFF"/>
              <w:left w:val="single" w:sz="6" w:space="0" w:color="FFFFFF"/>
              <w:bottom w:val="single" w:sz="6" w:space="0" w:color="FFFFFF"/>
              <w:right w:val="single" w:sz="6" w:space="0" w:color="FFFFFF"/>
            </w:tcBorders>
            <w:shd w:val="clear" w:color="auto" w:fill="D9D9D9"/>
            <w:vAlign w:val="bottom"/>
            <w:hideMark/>
          </w:tcPr>
          <w:p w14:paraId="3F2AC133" w14:textId="47E02B56" w:rsidR="00865153" w:rsidRPr="00EB6871" w:rsidRDefault="00865153" w:rsidP="00865153">
            <w:pPr>
              <w:jc w:val="left"/>
            </w:pPr>
            <w:r>
              <w:t>629</w:t>
            </w:r>
            <w:r w:rsidRPr="00EB6871">
              <w:t xml:space="preserve"> K€</w:t>
            </w:r>
          </w:p>
        </w:tc>
      </w:tr>
      <w:tr w:rsidR="00865153" w:rsidRPr="00EB6871" w14:paraId="0241A777" w14:textId="77777777" w:rsidTr="00865153">
        <w:trPr>
          <w:trHeight w:val="300"/>
        </w:trPr>
        <w:tc>
          <w:tcPr>
            <w:tcW w:w="2970" w:type="dxa"/>
            <w:tcBorders>
              <w:top w:val="single" w:sz="6" w:space="0" w:color="FFFFFF"/>
              <w:left w:val="single" w:sz="6" w:space="0" w:color="FFFFFF"/>
              <w:bottom w:val="single" w:sz="6" w:space="0" w:color="FFFFFF"/>
              <w:right w:val="single" w:sz="6" w:space="0" w:color="FFFFFF"/>
            </w:tcBorders>
            <w:shd w:val="clear" w:color="auto" w:fill="D9D9D9"/>
            <w:vAlign w:val="bottom"/>
            <w:hideMark/>
          </w:tcPr>
          <w:p w14:paraId="23973F19" w14:textId="77777777" w:rsidR="00865153" w:rsidRPr="00EB6871" w:rsidRDefault="00865153" w:rsidP="00865153">
            <w:pPr>
              <w:jc w:val="left"/>
              <w:rPr>
                <w:rFonts w:eastAsia="Times New Roman" w:cs="Segoe UI"/>
              </w:rPr>
            </w:pPr>
            <w:r w:rsidRPr="00EB6871">
              <w:t>Gastos actividades</w:t>
            </w:r>
            <w:r w:rsidRPr="00EB6871">
              <w:rPr>
                <w:rFonts w:eastAsia="Times New Roman" w:cs="Segoe UI"/>
              </w:rPr>
              <w:t xml:space="preserve"> </w:t>
            </w:r>
          </w:p>
        </w:tc>
        <w:tc>
          <w:tcPr>
            <w:tcW w:w="2865" w:type="dxa"/>
            <w:tcBorders>
              <w:top w:val="single" w:sz="6" w:space="0" w:color="FFFFFF"/>
              <w:left w:val="single" w:sz="6" w:space="0" w:color="FFFFFF"/>
              <w:bottom w:val="single" w:sz="6" w:space="0" w:color="FFFFFF"/>
              <w:right w:val="single" w:sz="6" w:space="0" w:color="FFFFFF"/>
            </w:tcBorders>
            <w:shd w:val="clear" w:color="auto" w:fill="D9D9D9"/>
            <w:vAlign w:val="bottom"/>
            <w:hideMark/>
          </w:tcPr>
          <w:p w14:paraId="7C5C76AC" w14:textId="258A29C8" w:rsidR="00865153" w:rsidRPr="00EB6871" w:rsidRDefault="00865153" w:rsidP="00865153">
            <w:pPr>
              <w:jc w:val="left"/>
              <w:rPr>
                <w:rFonts w:eastAsia="Times New Roman" w:cs="Segoe UI"/>
              </w:rPr>
            </w:pPr>
            <w:r w:rsidRPr="00EB6871">
              <w:t>-</w:t>
            </w:r>
            <w:r>
              <w:t>428</w:t>
            </w:r>
            <w:r w:rsidRPr="00EB6871">
              <w:t xml:space="preserve"> K€</w:t>
            </w:r>
          </w:p>
        </w:tc>
      </w:tr>
    </w:tbl>
    <w:p w14:paraId="72201F08" w14:textId="4D31AFC6" w:rsidR="00BF2228" w:rsidRPr="00EB6871" w:rsidRDefault="00BF2228" w:rsidP="00F24BAE">
      <w:pPr>
        <w:jc w:val="left"/>
        <w:rPr>
          <w:lang w:eastAsia="es-ES"/>
        </w:rPr>
      </w:pPr>
    </w:p>
    <w:p w14:paraId="6FB475B7" w14:textId="04E1CB82" w:rsidR="004A7FDB" w:rsidRDefault="004A7FDB" w:rsidP="00F24BAE">
      <w:pPr>
        <w:jc w:val="left"/>
        <w:rPr>
          <w:lang w:eastAsia="es-ES"/>
        </w:rPr>
      </w:pPr>
    </w:p>
    <w:p w14:paraId="6548DEF1" w14:textId="77777777" w:rsidR="006E0482" w:rsidRDefault="006E0482" w:rsidP="00F24BAE">
      <w:pPr>
        <w:jc w:val="left"/>
        <w:rPr>
          <w:lang w:eastAsia="es-ES"/>
        </w:rPr>
      </w:pPr>
    </w:p>
    <w:p w14:paraId="0D5B3609" w14:textId="77777777" w:rsidR="00E0507D" w:rsidRPr="00EB6871" w:rsidRDefault="00E0507D" w:rsidP="00F24BAE">
      <w:pPr>
        <w:jc w:val="left"/>
        <w:rPr>
          <w:lang w:eastAsia="es-ES"/>
        </w:rPr>
      </w:pPr>
    </w:p>
    <w:p w14:paraId="08222710" w14:textId="77777777" w:rsidR="00E3269D" w:rsidRPr="009109DE" w:rsidRDefault="00E3269D" w:rsidP="009109DE">
      <w:pPr>
        <w:jc w:val="center"/>
        <w:rPr>
          <w:sz w:val="14"/>
          <w:szCs w:val="14"/>
        </w:rPr>
      </w:pPr>
      <w:r w:rsidRPr="009109DE">
        <w:rPr>
          <w:sz w:val="14"/>
          <w:szCs w:val="14"/>
        </w:rPr>
        <w:t>* Sin tener en cuenta costes de personal</w:t>
      </w:r>
    </w:p>
    <w:p w14:paraId="2F1B210E" w14:textId="6AAB0EF1" w:rsidR="00177491" w:rsidRPr="00EB6871" w:rsidRDefault="00177491" w:rsidP="00FA1E85">
      <w:pPr>
        <w:jc w:val="left"/>
      </w:pPr>
      <w:r w:rsidRPr="00EB6871">
        <w:t xml:space="preserve">El posicionamiento como agente relevante ante la Comisión Europea exige resultar visible ante ésta a través de la participación en Consorcios Europeos. El hecho de participar en </w:t>
      </w:r>
      <w:r w:rsidR="0065362D">
        <w:t>Proyectos Europeos</w:t>
      </w:r>
      <w:r w:rsidRPr="00EB6871">
        <w:t xml:space="preserve"> nos permite ser </w:t>
      </w:r>
      <w:r w:rsidRPr="00E0507D">
        <w:rPr>
          <w:i/>
          <w:iCs/>
        </w:rPr>
        <w:t xml:space="preserve">influencers </w:t>
      </w:r>
      <w:r w:rsidRPr="00EB6871">
        <w:t>de sus políticas en cuanto a la digitalización de Europa y ser organismo de intermediación de segunda generación. Estos proyectos representan unos ingresos netos para la Fundación previstos para el año 2021 de 65</w:t>
      </w:r>
      <w:r w:rsidR="00681013" w:rsidRPr="00EB6871">
        <w:t>3</w:t>
      </w:r>
      <w:r w:rsidRPr="00EB6871">
        <w:t xml:space="preserve"> k€</w:t>
      </w:r>
      <w:r w:rsidR="003B7BA1" w:rsidRPr="00EB6871">
        <w:t>. Algunos d</w:t>
      </w:r>
      <w:r w:rsidRPr="00EB6871">
        <w:t>e ellos ya se comenzaron a ejecutar en 20</w:t>
      </w:r>
      <w:r w:rsidR="003F5B8D">
        <w:t>20</w:t>
      </w:r>
      <w:r w:rsidRPr="00EB6871">
        <w:t xml:space="preserve"> y se finalizarán entre 2021 y 202</w:t>
      </w:r>
      <w:r w:rsidR="003F5B8D">
        <w:t>4</w:t>
      </w:r>
      <w:r w:rsidRPr="00EB6871">
        <w:t>.</w:t>
      </w:r>
    </w:p>
    <w:p w14:paraId="464BD5C6" w14:textId="62E773D8" w:rsidR="00177491" w:rsidRPr="00EB6871" w:rsidRDefault="00177491" w:rsidP="00FA1E85">
      <w:pPr>
        <w:jc w:val="left"/>
      </w:pPr>
      <w:r w:rsidRPr="00EB6871">
        <w:t>En el presupuesto de 202</w:t>
      </w:r>
      <w:r w:rsidR="00865153">
        <w:t>2</w:t>
      </w:r>
      <w:r w:rsidRPr="00EB6871">
        <w:t xml:space="preserve">, por motivos de prudencia, solo se han contabilizado entre el 75- 80% de la subvención total que se otorga de los proyectos, aunque se espera que podamos obtener fondos adicionales (25% </w:t>
      </w:r>
      <w:r w:rsidRPr="00DA7574">
        <w:rPr>
          <w:i/>
          <w:iCs/>
        </w:rPr>
        <w:t>overheads</w:t>
      </w:r>
      <w:r w:rsidRPr="00EB6871">
        <w:t>). Cabe destacar que todos los costes que se expliquen de ahora en adelante en cada proyecto están 100% sufragados por los ingresos.</w:t>
      </w:r>
    </w:p>
    <w:p w14:paraId="0465E14B" w14:textId="35B2FFD3" w:rsidR="00177491" w:rsidRPr="00EB6871" w:rsidRDefault="00960FD4" w:rsidP="00FA1E85">
      <w:pPr>
        <w:jc w:val="left"/>
      </w:pPr>
      <w:r>
        <w:t>Programas para 2022:</w:t>
      </w:r>
    </w:p>
    <w:p w14:paraId="5F8C0B37" w14:textId="65E77FC9" w:rsidR="00177491" w:rsidRPr="00EB6871" w:rsidRDefault="00177491" w:rsidP="00FA1E85">
      <w:pPr>
        <w:jc w:val="left"/>
      </w:pPr>
      <w:r w:rsidRPr="003B086D">
        <w:rPr>
          <w:rStyle w:val="nfasissutil"/>
        </w:rPr>
        <w:t>5GCro</w:t>
      </w:r>
      <w:r w:rsidR="00420E0B" w:rsidRPr="003B086D">
        <w:rPr>
          <w:rStyle w:val="nfasissutil"/>
        </w:rPr>
        <w:t>C</w:t>
      </w:r>
      <w:r w:rsidRPr="003B086D">
        <w:rPr>
          <w:rStyle w:val="nfasissutil"/>
        </w:rPr>
        <w:t>o</w:t>
      </w:r>
      <w:r w:rsidRPr="00EB6871">
        <w:t>: tiene el objetivo de validar y optimizar la tecnología 5G y su arquitectura bajo casos de uso de vehículo conectado y autónomo, reduciendo así las incertidumbres relacionadas con el despliegue comercial de las comunicaciones eV2X entre las zonas fronterizas de Europa.</w:t>
      </w:r>
    </w:p>
    <w:p w14:paraId="3147C87B" w14:textId="5C41EFE9" w:rsidR="00177491" w:rsidRPr="00EB6871" w:rsidRDefault="00177491" w:rsidP="00FA1E85">
      <w:pPr>
        <w:jc w:val="left"/>
      </w:pPr>
      <w:r w:rsidRPr="00EB6871">
        <w:t xml:space="preserve">El presupuesto asociado a este proyecto es de </w:t>
      </w:r>
      <w:r w:rsidR="001C15B9">
        <w:t>26</w:t>
      </w:r>
      <w:r w:rsidRPr="00EB6871">
        <w:t xml:space="preserve"> k€.</w:t>
      </w:r>
    </w:p>
    <w:p w14:paraId="7ED97CE3" w14:textId="33B8890E" w:rsidR="00177491" w:rsidRDefault="00177491" w:rsidP="00FA1E85">
      <w:pPr>
        <w:jc w:val="left"/>
      </w:pPr>
      <w:r w:rsidRPr="003B086D">
        <w:rPr>
          <w:rStyle w:val="nfasissutil"/>
        </w:rPr>
        <w:t>5GMED</w:t>
      </w:r>
      <w:r w:rsidRPr="00EB6871">
        <w:t>: desarrollará y mejorará escenarios de aplicación 5G transfronterizos dentro de servicios avanzados de movilidad cooperativa conectada y automatizada (CCAM) y del sistema de comunicaciones móviles ferroviarias de futuro (FRMCS). Se elaborarán cuatro proyectos piloto en ferrocarril y autopista entre Figueras y Perpiñán.</w:t>
      </w:r>
    </w:p>
    <w:p w14:paraId="6C6D3B73" w14:textId="0E2EF5AE" w:rsidR="00BF2228" w:rsidRPr="00EB6871" w:rsidRDefault="00631CF4" w:rsidP="00681B37">
      <w:pPr>
        <w:jc w:val="left"/>
      </w:pPr>
      <w:r w:rsidRPr="00EB6871">
        <w:lastRenderedPageBreak/>
        <w:t xml:space="preserve">El presupuesto asociado a este proyecto es de </w:t>
      </w:r>
      <w:r>
        <w:t>55</w:t>
      </w:r>
      <w:r w:rsidRPr="00EB6871">
        <w:t xml:space="preserve"> k€.</w:t>
      </w:r>
    </w:p>
    <w:p w14:paraId="789910AA" w14:textId="09CBB9D1" w:rsidR="00177491" w:rsidRPr="00EB6871" w:rsidRDefault="00177491" w:rsidP="00FA1E85">
      <w:pPr>
        <w:jc w:val="left"/>
      </w:pPr>
      <w:r w:rsidRPr="003B086D">
        <w:rPr>
          <w:rStyle w:val="nfasissutil"/>
        </w:rPr>
        <w:t>BetterFactories</w:t>
      </w:r>
      <w:r w:rsidRPr="00EB6871">
        <w:t>: proyecto que fomenta la transformación digital y la adquisición de competencias digitales a través de una metodología «lean-agile» para pymes. Artistas y diseñadores ayudarán a crear espacios de disrupción e innovación para la gestión de residuos, energía, recursos y logística en empresas de manufactura.</w:t>
      </w:r>
    </w:p>
    <w:p w14:paraId="4DE8C215" w14:textId="61F50648" w:rsidR="00177491" w:rsidRPr="00EB6871" w:rsidRDefault="00177491" w:rsidP="00FA1E85">
      <w:pPr>
        <w:jc w:val="left"/>
      </w:pPr>
      <w:r w:rsidRPr="00EB6871">
        <w:t>El presupuesto asociado a este proyecto es de 5</w:t>
      </w:r>
      <w:r w:rsidR="00244C97">
        <w:t>5</w:t>
      </w:r>
      <w:r w:rsidRPr="00EB6871">
        <w:t xml:space="preserve"> k€.</w:t>
      </w:r>
    </w:p>
    <w:p w14:paraId="0F727166" w14:textId="77777777" w:rsidR="00177491" w:rsidRPr="00EB6871" w:rsidRDefault="00177491" w:rsidP="00FA1E85">
      <w:pPr>
        <w:jc w:val="left"/>
      </w:pPr>
      <w:r w:rsidRPr="003B086D">
        <w:rPr>
          <w:rStyle w:val="nfasissutil"/>
        </w:rPr>
        <w:t>I4MS-4TS,ICT Innovation for Manufacturing SME’s</w:t>
      </w:r>
      <w:r w:rsidRPr="00EB6871">
        <w:t>: la iniciativa europea estrella que apoya la transformación digital en pequeñas y medianas empresas del sector de la manufactura. Las pymes pueden solicitar apoyo tecnológico y financiero para llevar a cabo experimentos y pilotos que les permitan testear tecnologías e implementar procesos digitales innovadores.</w:t>
      </w:r>
    </w:p>
    <w:p w14:paraId="0C319318" w14:textId="297698D8" w:rsidR="00177491" w:rsidRPr="00EB6871" w:rsidRDefault="00177491" w:rsidP="00FA1E85">
      <w:pPr>
        <w:jc w:val="left"/>
      </w:pPr>
      <w:r w:rsidRPr="00EB6871">
        <w:t xml:space="preserve">El presupuesto asociado a este proyecto es de </w:t>
      </w:r>
      <w:r w:rsidR="00631CF4">
        <w:t>96</w:t>
      </w:r>
      <w:r w:rsidRPr="00EB6871">
        <w:t xml:space="preserve"> k€.</w:t>
      </w:r>
    </w:p>
    <w:p w14:paraId="5CC59D53" w14:textId="26887725" w:rsidR="006A660E" w:rsidRPr="00EB6871" w:rsidRDefault="006A660E" w:rsidP="006A660E">
      <w:pPr>
        <w:jc w:val="left"/>
      </w:pPr>
      <w:r>
        <w:rPr>
          <w:rStyle w:val="nfasissutil"/>
        </w:rPr>
        <w:t xml:space="preserve">Möbius: </w:t>
      </w:r>
      <w:r w:rsidR="00B25B7C">
        <w:rPr>
          <w:rStyle w:val="normaltextrun"/>
          <w:color w:val="000000"/>
          <w:shd w:val="clear" w:color="auto" w:fill="FFFFFF"/>
        </w:rPr>
        <w:t>El proyecto Möbius contribuye a la renovación y vigorización del sector editorial proporcionándole metodologías y herramientas enfocadas a aprovechar el potencial de los prosumidores en los procesos de innovación tecnológica.</w:t>
      </w:r>
      <w:r w:rsidR="00B25B7C">
        <w:rPr>
          <w:rStyle w:val="eop"/>
          <w:color w:val="000000"/>
          <w:shd w:val="clear" w:color="auto" w:fill="FFFFFF"/>
        </w:rPr>
        <w:t> </w:t>
      </w:r>
    </w:p>
    <w:p w14:paraId="67F10AAC" w14:textId="7F02350B" w:rsidR="00384884" w:rsidRPr="00EB6871" w:rsidRDefault="00384884" w:rsidP="00384884">
      <w:pPr>
        <w:jc w:val="left"/>
      </w:pPr>
      <w:r w:rsidRPr="00EB6871">
        <w:t xml:space="preserve">El presupuesto asociado a este proyecto es de </w:t>
      </w:r>
      <w:r>
        <w:t>58</w:t>
      </w:r>
      <w:r w:rsidRPr="00EB6871">
        <w:t xml:space="preserve"> k€.</w:t>
      </w:r>
    </w:p>
    <w:p w14:paraId="164410D8" w14:textId="348F0A4C" w:rsidR="009233A6" w:rsidRDefault="009233A6" w:rsidP="00FA1E85">
      <w:pPr>
        <w:jc w:val="left"/>
        <w:rPr>
          <w:rStyle w:val="nfasissutil"/>
        </w:rPr>
      </w:pPr>
      <w:r w:rsidRPr="003B086D">
        <w:rPr>
          <w:rStyle w:val="nfasissutil"/>
        </w:rPr>
        <w:t>5G</w:t>
      </w:r>
      <w:r w:rsidR="00E002A7">
        <w:rPr>
          <w:rStyle w:val="nfasissutil"/>
        </w:rPr>
        <w:t xml:space="preserve"> Turbo</w:t>
      </w:r>
    </w:p>
    <w:p w14:paraId="36424540" w14:textId="5BAB6942" w:rsidR="00177491" w:rsidRDefault="006A660E" w:rsidP="00F24BAE">
      <w:pPr>
        <w:jc w:val="left"/>
      </w:pPr>
      <w:r>
        <w:t>E</w:t>
      </w:r>
      <w:r w:rsidRPr="006A660E">
        <w:t>l proyecto 5GTurbo es una aceleradora de startups 5G en el sector de la movilidad que se llevará a cabo en 2022. El programa creará sinergias entre industria, ciudades y empresas emergentes para validar tecnologías y mercado. El consorcio ofrecerá servicios de aceleración económica y técnica en el marco de diferentes actividades, tales como bootcamps y demo days.  </w:t>
      </w:r>
    </w:p>
    <w:p w14:paraId="59F1EDE7" w14:textId="4F80506F" w:rsidR="00384884" w:rsidRPr="00EB6871" w:rsidRDefault="00384884" w:rsidP="00F24BAE">
      <w:pPr>
        <w:jc w:val="left"/>
      </w:pPr>
      <w:r>
        <w:t xml:space="preserve">El presupuesto asociado es de </w:t>
      </w:r>
      <w:r w:rsidR="00681B37">
        <w:t>29 k€</w:t>
      </w:r>
    </w:p>
    <w:p w14:paraId="77D6686B" w14:textId="68CF6936" w:rsidR="00E002A7" w:rsidRDefault="00E002A7" w:rsidP="00E002A7">
      <w:pPr>
        <w:jc w:val="left"/>
      </w:pPr>
      <w:r w:rsidRPr="00EB6871">
        <w:t xml:space="preserve">Además, se presupuestan </w:t>
      </w:r>
      <w:r>
        <w:t>53</w:t>
      </w:r>
      <w:r w:rsidRPr="00EB6871">
        <w:t xml:space="preserve"> k€ para consultoría de nuevos proyectos, así como la gestión de posibles nuevos proyectos por valor de 5</w:t>
      </w:r>
      <w:r>
        <w:t>5</w:t>
      </w:r>
      <w:r w:rsidRPr="00EB6871">
        <w:t xml:space="preserve"> k€.</w:t>
      </w:r>
    </w:p>
    <w:p w14:paraId="27676A43" w14:textId="6B7D4D93" w:rsidR="00177491" w:rsidRDefault="00177491" w:rsidP="00F24BAE">
      <w:pPr>
        <w:jc w:val="left"/>
      </w:pPr>
    </w:p>
    <w:p w14:paraId="4115F5BE" w14:textId="02813EE3" w:rsidR="00681B37" w:rsidRDefault="00681B37" w:rsidP="00F24BAE">
      <w:pPr>
        <w:jc w:val="left"/>
      </w:pPr>
    </w:p>
    <w:p w14:paraId="33563B2B" w14:textId="1A4E9A1B" w:rsidR="00681B37" w:rsidRDefault="00681B37" w:rsidP="00F24BAE">
      <w:pPr>
        <w:jc w:val="left"/>
      </w:pPr>
    </w:p>
    <w:p w14:paraId="547AB33B" w14:textId="37FEDF4D" w:rsidR="00681B37" w:rsidRDefault="00681B37" w:rsidP="00F24BAE">
      <w:pPr>
        <w:jc w:val="left"/>
      </w:pPr>
    </w:p>
    <w:p w14:paraId="47C960E4" w14:textId="77777777" w:rsidR="00681B37" w:rsidRPr="00EB6871" w:rsidRDefault="00681B37" w:rsidP="00F24BAE">
      <w:pPr>
        <w:jc w:val="left"/>
      </w:pPr>
    </w:p>
    <w:p w14:paraId="24CDBB60" w14:textId="77777777" w:rsidR="00177491" w:rsidRPr="00EB6871" w:rsidRDefault="00177491" w:rsidP="00F24BAE">
      <w:pPr>
        <w:pStyle w:val="Ttulo2"/>
        <w:jc w:val="left"/>
      </w:pPr>
      <w:bookmarkStart w:id="21" w:name="_Toc85297128"/>
      <w:r w:rsidRPr="00EB6871">
        <w:lastRenderedPageBreak/>
        <w:t>5.7. Servicios Corporativos</w:t>
      </w:r>
      <w:bookmarkEnd w:id="21"/>
    </w:p>
    <w:tbl>
      <w:tblPr>
        <w:tblpPr w:leftFromText="141" w:rightFromText="141" w:vertAnchor="page" w:horzAnchor="margin" w:tblpXSpec="center" w:tblpY="2365"/>
        <w:tblW w:w="5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2865"/>
      </w:tblGrid>
      <w:tr w:rsidR="00681B37" w:rsidRPr="00AF0DC9" w14:paraId="2063C3D6" w14:textId="77777777" w:rsidTr="00681B37">
        <w:trPr>
          <w:trHeight w:val="300"/>
        </w:trPr>
        <w:tc>
          <w:tcPr>
            <w:tcW w:w="5835" w:type="dxa"/>
            <w:gridSpan w:val="2"/>
            <w:tcBorders>
              <w:top w:val="single" w:sz="6" w:space="0" w:color="FFFFFF"/>
              <w:left w:val="single" w:sz="6" w:space="0" w:color="FFFFFF"/>
              <w:bottom w:val="single" w:sz="24" w:space="0" w:color="FFFFFF"/>
              <w:right w:val="single" w:sz="6" w:space="0" w:color="FFFFFF"/>
            </w:tcBorders>
            <w:shd w:val="clear" w:color="auto" w:fill="E32333"/>
            <w:hideMark/>
          </w:tcPr>
          <w:p w14:paraId="55B1C873" w14:textId="77777777" w:rsidR="00681B37" w:rsidRPr="007027B8" w:rsidRDefault="00681B37" w:rsidP="00681B37">
            <w:pPr>
              <w:jc w:val="left"/>
              <w:rPr>
                <w:rStyle w:val="nfasissutil"/>
              </w:rPr>
            </w:pPr>
            <w:r w:rsidRPr="007027B8">
              <w:rPr>
                <w:rStyle w:val="nfasissutil"/>
                <w:color w:val="FFFFFF" w:themeColor="background1"/>
              </w:rPr>
              <w:t>SERVICIOS CORPORATIVOS</w:t>
            </w:r>
          </w:p>
        </w:tc>
      </w:tr>
      <w:tr w:rsidR="00681B37" w:rsidRPr="00AF0DC9" w14:paraId="273B6084" w14:textId="77777777" w:rsidTr="00681B37">
        <w:trPr>
          <w:trHeight w:val="300"/>
        </w:trPr>
        <w:tc>
          <w:tcPr>
            <w:tcW w:w="2970" w:type="dxa"/>
            <w:tcBorders>
              <w:top w:val="single" w:sz="24" w:space="0" w:color="FFFFFF"/>
              <w:left w:val="single" w:sz="6" w:space="0" w:color="FFFFFF"/>
              <w:bottom w:val="single" w:sz="6" w:space="0" w:color="FFFFFF"/>
              <w:right w:val="single" w:sz="6" w:space="0" w:color="FFFFFF"/>
            </w:tcBorders>
            <w:shd w:val="clear" w:color="auto" w:fill="D9D9D9"/>
            <w:vAlign w:val="bottom"/>
            <w:hideMark/>
          </w:tcPr>
          <w:p w14:paraId="2E5CBD56" w14:textId="77777777" w:rsidR="00681B37" w:rsidRPr="00AF0DC9" w:rsidRDefault="00681B37" w:rsidP="00681B37">
            <w:pPr>
              <w:jc w:val="left"/>
              <w:rPr>
                <w:rFonts w:eastAsia="Times New Roman" w:cs="Segoe UI"/>
                <w:sz w:val="18"/>
                <w:szCs w:val="18"/>
              </w:rPr>
            </w:pPr>
            <w:r w:rsidRPr="00AF0DC9">
              <w:rPr>
                <w:sz w:val="18"/>
                <w:szCs w:val="18"/>
              </w:rPr>
              <w:t>Ingresos actividades</w:t>
            </w:r>
          </w:p>
        </w:tc>
        <w:tc>
          <w:tcPr>
            <w:tcW w:w="2865" w:type="dxa"/>
            <w:tcBorders>
              <w:top w:val="single" w:sz="24" w:space="0" w:color="FFFFFF"/>
              <w:left w:val="single" w:sz="6" w:space="0" w:color="FFFFFF"/>
              <w:bottom w:val="single" w:sz="6" w:space="0" w:color="FFFFFF"/>
              <w:right w:val="single" w:sz="6" w:space="0" w:color="FFFFFF"/>
            </w:tcBorders>
            <w:shd w:val="clear" w:color="auto" w:fill="D9D9D9"/>
            <w:vAlign w:val="bottom"/>
            <w:hideMark/>
          </w:tcPr>
          <w:p w14:paraId="36D868DB" w14:textId="77777777" w:rsidR="00681B37" w:rsidRPr="00AF0DC9" w:rsidRDefault="00681B37" w:rsidP="00681B37">
            <w:pPr>
              <w:jc w:val="left"/>
              <w:rPr>
                <w:sz w:val="18"/>
                <w:szCs w:val="18"/>
              </w:rPr>
            </w:pPr>
            <w:r w:rsidRPr="00AF0DC9">
              <w:rPr>
                <w:sz w:val="18"/>
                <w:szCs w:val="18"/>
              </w:rPr>
              <w:t>1.</w:t>
            </w:r>
            <w:r>
              <w:rPr>
                <w:sz w:val="18"/>
                <w:szCs w:val="18"/>
              </w:rPr>
              <w:t>282</w:t>
            </w:r>
            <w:r w:rsidRPr="00AF0DC9">
              <w:rPr>
                <w:sz w:val="18"/>
                <w:szCs w:val="18"/>
              </w:rPr>
              <w:t xml:space="preserve"> K€</w:t>
            </w:r>
          </w:p>
        </w:tc>
      </w:tr>
      <w:tr w:rsidR="00681B37" w:rsidRPr="00AF0DC9" w14:paraId="3271397F" w14:textId="77777777" w:rsidTr="00681B37">
        <w:trPr>
          <w:trHeight w:val="300"/>
        </w:trPr>
        <w:tc>
          <w:tcPr>
            <w:tcW w:w="2970" w:type="dxa"/>
            <w:tcBorders>
              <w:top w:val="single" w:sz="6" w:space="0" w:color="FFFFFF"/>
              <w:left w:val="single" w:sz="6" w:space="0" w:color="FFFFFF"/>
              <w:bottom w:val="single" w:sz="6" w:space="0" w:color="FFFFFF"/>
              <w:right w:val="single" w:sz="6" w:space="0" w:color="FFFFFF"/>
            </w:tcBorders>
            <w:shd w:val="clear" w:color="auto" w:fill="D9D9D9"/>
            <w:vAlign w:val="bottom"/>
            <w:hideMark/>
          </w:tcPr>
          <w:p w14:paraId="2BF28251" w14:textId="77777777" w:rsidR="00681B37" w:rsidRPr="00AF0DC9" w:rsidRDefault="00681B37" w:rsidP="00681B37">
            <w:pPr>
              <w:jc w:val="left"/>
              <w:rPr>
                <w:rFonts w:eastAsia="Times New Roman" w:cs="Segoe UI"/>
                <w:sz w:val="18"/>
                <w:szCs w:val="18"/>
              </w:rPr>
            </w:pPr>
            <w:r w:rsidRPr="00AF0DC9">
              <w:rPr>
                <w:sz w:val="18"/>
                <w:szCs w:val="18"/>
              </w:rPr>
              <w:t>Gastos actividades</w:t>
            </w:r>
            <w:r w:rsidRPr="00AF0DC9">
              <w:rPr>
                <w:rFonts w:eastAsia="Times New Roman" w:cs="Segoe UI"/>
                <w:sz w:val="18"/>
                <w:szCs w:val="18"/>
              </w:rPr>
              <w:t xml:space="preserve"> </w:t>
            </w:r>
          </w:p>
        </w:tc>
        <w:tc>
          <w:tcPr>
            <w:tcW w:w="2865" w:type="dxa"/>
            <w:tcBorders>
              <w:top w:val="single" w:sz="6" w:space="0" w:color="FFFFFF"/>
              <w:left w:val="single" w:sz="6" w:space="0" w:color="FFFFFF"/>
              <w:bottom w:val="single" w:sz="6" w:space="0" w:color="FFFFFF"/>
              <w:right w:val="single" w:sz="6" w:space="0" w:color="FFFFFF"/>
            </w:tcBorders>
            <w:shd w:val="clear" w:color="auto" w:fill="D9D9D9"/>
            <w:vAlign w:val="bottom"/>
            <w:hideMark/>
          </w:tcPr>
          <w:p w14:paraId="117E3984" w14:textId="21C835CA" w:rsidR="00681B37" w:rsidRPr="00AF0DC9" w:rsidRDefault="00681B37" w:rsidP="00681B37">
            <w:pPr>
              <w:jc w:val="left"/>
              <w:rPr>
                <w:rFonts w:eastAsia="Times New Roman" w:cs="Segoe UI"/>
                <w:sz w:val="18"/>
                <w:szCs w:val="18"/>
              </w:rPr>
            </w:pPr>
            <w:r w:rsidRPr="00AF0DC9">
              <w:rPr>
                <w:sz w:val="18"/>
                <w:szCs w:val="18"/>
              </w:rPr>
              <w:t>-1.</w:t>
            </w:r>
            <w:r w:rsidR="00A053FA">
              <w:rPr>
                <w:sz w:val="18"/>
                <w:szCs w:val="18"/>
              </w:rPr>
              <w:t>506</w:t>
            </w:r>
            <w:r w:rsidRPr="00AF0DC9">
              <w:rPr>
                <w:sz w:val="18"/>
                <w:szCs w:val="18"/>
              </w:rPr>
              <w:t xml:space="preserve"> K€</w:t>
            </w:r>
          </w:p>
        </w:tc>
      </w:tr>
    </w:tbl>
    <w:p w14:paraId="4B80892E" w14:textId="77777777" w:rsidR="00177491" w:rsidRPr="00EB6871" w:rsidRDefault="00177491" w:rsidP="00F24BAE">
      <w:pPr>
        <w:jc w:val="left"/>
      </w:pPr>
    </w:p>
    <w:p w14:paraId="2F843F3E" w14:textId="5F6B0DB1" w:rsidR="00177491" w:rsidRPr="00EB6871" w:rsidRDefault="00177491" w:rsidP="00F24BAE">
      <w:pPr>
        <w:jc w:val="left"/>
        <w:rPr>
          <w:lang w:eastAsia="es-ES"/>
        </w:rPr>
      </w:pPr>
    </w:p>
    <w:p w14:paraId="78994669" w14:textId="6C608671" w:rsidR="00681013" w:rsidRDefault="00681013" w:rsidP="00F24BAE">
      <w:pPr>
        <w:jc w:val="left"/>
        <w:rPr>
          <w:lang w:eastAsia="es-ES"/>
        </w:rPr>
      </w:pPr>
    </w:p>
    <w:p w14:paraId="20EC79D6" w14:textId="77777777" w:rsidR="0052583C" w:rsidRPr="00EB6871" w:rsidRDefault="0052583C" w:rsidP="00F24BAE">
      <w:pPr>
        <w:jc w:val="left"/>
        <w:rPr>
          <w:lang w:eastAsia="es-ES"/>
        </w:rPr>
      </w:pPr>
    </w:p>
    <w:p w14:paraId="2B2F32AA" w14:textId="77777777" w:rsidR="00681013" w:rsidRPr="009109DE" w:rsidRDefault="00681013" w:rsidP="009109DE">
      <w:pPr>
        <w:jc w:val="center"/>
        <w:rPr>
          <w:sz w:val="14"/>
          <w:szCs w:val="14"/>
        </w:rPr>
      </w:pPr>
      <w:r w:rsidRPr="009109DE">
        <w:rPr>
          <w:sz w:val="14"/>
          <w:szCs w:val="14"/>
        </w:rPr>
        <w:t>* Sin tener en cuenta costes de personal</w:t>
      </w:r>
    </w:p>
    <w:p w14:paraId="431B6C99" w14:textId="72B2817E" w:rsidR="00177491" w:rsidRPr="00EB6871" w:rsidRDefault="00177491" w:rsidP="00FA1E85">
      <w:pPr>
        <w:jc w:val="left"/>
      </w:pPr>
      <w:r w:rsidRPr="00EB6871">
        <w:t>Se incluyen en “Servicios Corporativos” todas aquellas actividades necesarias para el buen funcionamiento de la Fundación y la ejecución de sus programas. El presupuesto total de Servicios Corporativos asciende a 1.</w:t>
      </w:r>
      <w:r w:rsidR="002D3B0C">
        <w:t>506</w:t>
      </w:r>
      <w:r w:rsidRPr="00EB6871">
        <w:t xml:space="preserve"> k€.</w:t>
      </w:r>
    </w:p>
    <w:p w14:paraId="74ECB384" w14:textId="41F69C47" w:rsidR="00BF2228" w:rsidRPr="00EB6871" w:rsidRDefault="00177491" w:rsidP="00FA1E85">
      <w:pPr>
        <w:jc w:val="left"/>
      </w:pPr>
      <w:r w:rsidRPr="00EB6871">
        <w:t xml:space="preserve">Las </w:t>
      </w:r>
      <w:r w:rsidR="00810A19">
        <w:t xml:space="preserve">principales </w:t>
      </w:r>
      <w:r w:rsidRPr="00EB6871">
        <w:t>partidas que se incluyen son las siguientes:</w:t>
      </w:r>
    </w:p>
    <w:p w14:paraId="1F5AD4A6" w14:textId="3B77E393" w:rsidR="00177491" w:rsidRPr="00EB6871" w:rsidRDefault="00177491" w:rsidP="00FA1E85">
      <w:pPr>
        <w:pStyle w:val="Prrafodelista"/>
        <w:numPr>
          <w:ilvl w:val="0"/>
          <w:numId w:val="18"/>
        </w:numPr>
        <w:ind w:left="567"/>
        <w:jc w:val="left"/>
      </w:pPr>
      <w:r w:rsidRPr="003B086D">
        <w:rPr>
          <w:rStyle w:val="nfasissutil"/>
        </w:rPr>
        <w:t>Servicios Jurídicos:</w:t>
      </w:r>
      <w:r w:rsidRPr="00EB6871">
        <w:t xml:space="preserve"> Se estiman unos costes totales de </w:t>
      </w:r>
      <w:r w:rsidR="00C7369B">
        <w:t>102</w:t>
      </w:r>
      <w:r w:rsidRPr="00EB6871">
        <w:t>k€ que incluyen los costes de asesoramiento civil y mercantil, registro de marcas, asesoramiento puntual en materia de contratación pública, servicios de secretaría de la Comisión Ejecutiva y Patronato, así como todas actuaciones a realizar aqunte Notarios y otros Organismos Oficiales</w:t>
      </w:r>
      <w:r w:rsidR="00BF2228" w:rsidRPr="00EB6871">
        <w:t>.</w:t>
      </w:r>
    </w:p>
    <w:p w14:paraId="2C7B0D28" w14:textId="77777777" w:rsidR="00BF2228" w:rsidRPr="00EB6871" w:rsidRDefault="00BF2228" w:rsidP="00FA1E85">
      <w:pPr>
        <w:pStyle w:val="Prrafodelista"/>
        <w:ind w:left="567"/>
        <w:jc w:val="left"/>
      </w:pPr>
    </w:p>
    <w:p w14:paraId="261D134E" w14:textId="2AB633F8" w:rsidR="00BF2228" w:rsidRPr="00EB6871" w:rsidRDefault="00E3269D" w:rsidP="00FA1E85">
      <w:pPr>
        <w:pStyle w:val="Prrafodelista"/>
        <w:numPr>
          <w:ilvl w:val="0"/>
          <w:numId w:val="18"/>
        </w:numPr>
        <w:ind w:left="567"/>
        <w:jc w:val="left"/>
      </w:pPr>
      <w:r w:rsidRPr="003B086D">
        <w:rPr>
          <w:rStyle w:val="nfasissutil"/>
        </w:rPr>
        <w:t>Personas</w:t>
      </w:r>
      <w:r w:rsidR="00177491" w:rsidRPr="003B086D">
        <w:rPr>
          <w:rStyle w:val="nfasissutil"/>
        </w:rPr>
        <w:t>:</w:t>
      </w:r>
      <w:r w:rsidR="00177491" w:rsidRPr="00EB6871">
        <w:t xml:space="preserve"> Esta partida estima unos costes de </w:t>
      </w:r>
      <w:r w:rsidR="00C7369B">
        <w:t>160</w:t>
      </w:r>
      <w:r w:rsidR="00177491" w:rsidRPr="00EB6871">
        <w:t xml:space="preserve"> k€ para 202</w:t>
      </w:r>
      <w:r w:rsidR="00C7369B">
        <w:t>2</w:t>
      </w:r>
      <w:r w:rsidR="00177491" w:rsidRPr="00EB6871">
        <w:t xml:space="preserve"> que incluyen</w:t>
      </w:r>
      <w:r w:rsidR="0023427B" w:rsidRPr="00EB6871">
        <w:t xml:space="preserve">, entre otras partidas, </w:t>
      </w:r>
      <w:r w:rsidRPr="00EB6871">
        <w:t xml:space="preserve">la inversión en </w:t>
      </w:r>
      <w:r w:rsidR="00177491" w:rsidRPr="00EB6871">
        <w:t>formación de personal,</w:t>
      </w:r>
      <w:r w:rsidR="0023427B" w:rsidRPr="00EB6871">
        <w:t xml:space="preserve"> </w:t>
      </w:r>
      <w:r w:rsidRPr="00EB6871">
        <w:t>gastos de</w:t>
      </w:r>
      <w:r w:rsidR="00177491" w:rsidRPr="00EB6871">
        <w:t xml:space="preserve"> asesoramiento legal/laboral, así como prevención y vigilancia de la salud/PRL.</w:t>
      </w:r>
    </w:p>
    <w:p w14:paraId="264C546E" w14:textId="77777777" w:rsidR="00BF2228" w:rsidRPr="00EB6871" w:rsidRDefault="00BF2228" w:rsidP="00FA1E85">
      <w:pPr>
        <w:pStyle w:val="Prrafodelista"/>
        <w:ind w:left="567"/>
        <w:jc w:val="left"/>
      </w:pPr>
    </w:p>
    <w:p w14:paraId="17CF49A0" w14:textId="402F3C5F" w:rsidR="00BF2228" w:rsidRPr="00EB6871" w:rsidRDefault="00177491" w:rsidP="00FA1E85">
      <w:pPr>
        <w:pStyle w:val="Prrafodelista"/>
        <w:numPr>
          <w:ilvl w:val="0"/>
          <w:numId w:val="18"/>
        </w:numPr>
        <w:ind w:left="567"/>
        <w:jc w:val="left"/>
      </w:pPr>
      <w:r w:rsidRPr="003B086D">
        <w:rPr>
          <w:rStyle w:val="nfasissutil"/>
        </w:rPr>
        <w:t>IT:</w:t>
      </w:r>
      <w:r w:rsidRPr="00EB6871">
        <w:t xml:space="preserve"> Se estiman unos costes totales de </w:t>
      </w:r>
      <w:r w:rsidR="007535E0">
        <w:t>529</w:t>
      </w:r>
      <w:r w:rsidRPr="00EB6871">
        <w:t xml:space="preserve"> k€ que incluyen costes de licencias de SAP, CRM y Microsoft office y otras (</w:t>
      </w:r>
      <w:r w:rsidR="00B80B61">
        <w:t>100</w:t>
      </w:r>
      <w:r w:rsidRPr="00EB6871">
        <w:t xml:space="preserve"> K€). Incluyen las plataformas de gestión vacaciones, notas de gasto, así como los costes de webs (1</w:t>
      </w:r>
      <w:r w:rsidR="000866D1">
        <w:t>6</w:t>
      </w:r>
      <w:r w:rsidR="00EC099D">
        <w:t>0</w:t>
      </w:r>
      <w:r w:rsidRPr="00EB6871">
        <w:t xml:space="preserve"> k€), servicio soporte informático (</w:t>
      </w:r>
      <w:r w:rsidR="00B97529">
        <w:t>98</w:t>
      </w:r>
      <w:r w:rsidRPr="00EB6871">
        <w:t xml:space="preserve"> k€), </w:t>
      </w:r>
      <w:r w:rsidR="000C3445">
        <w:t>licencias Azure</w:t>
      </w:r>
      <w:r w:rsidR="00B97529">
        <w:t xml:space="preserve"> y herramientas colaborativas</w:t>
      </w:r>
      <w:r w:rsidRPr="00EB6871">
        <w:t xml:space="preserve"> (</w:t>
      </w:r>
      <w:r w:rsidR="0084451D">
        <w:t>43</w:t>
      </w:r>
      <w:r w:rsidRPr="00EB6871">
        <w:t xml:space="preserve"> k€) y otras herramientas, así como mejoras de los sistemas planificadas</w:t>
      </w:r>
      <w:r w:rsidR="00800CF9">
        <w:t xml:space="preserve"> (</w:t>
      </w:r>
      <w:r w:rsidR="0084451D">
        <w:t>8</w:t>
      </w:r>
      <w:r w:rsidR="00A719DF">
        <w:t>5 k€).</w:t>
      </w:r>
    </w:p>
    <w:p w14:paraId="1D3133F2" w14:textId="77777777" w:rsidR="00BF2228" w:rsidRPr="00EB6871" w:rsidRDefault="00BF2228" w:rsidP="00FA1E85">
      <w:pPr>
        <w:pStyle w:val="Prrafodelista"/>
        <w:ind w:left="567"/>
        <w:jc w:val="left"/>
      </w:pPr>
    </w:p>
    <w:p w14:paraId="6CCD6B81" w14:textId="54B009DF" w:rsidR="00BF2228" w:rsidRPr="00EB6871" w:rsidRDefault="00177491" w:rsidP="00FA1E85">
      <w:pPr>
        <w:pStyle w:val="Prrafodelista"/>
        <w:numPr>
          <w:ilvl w:val="0"/>
          <w:numId w:val="18"/>
        </w:numPr>
        <w:ind w:left="567"/>
        <w:jc w:val="left"/>
      </w:pPr>
      <w:r w:rsidRPr="003B086D">
        <w:rPr>
          <w:rStyle w:val="nfasissutil"/>
        </w:rPr>
        <w:t>Finanzas:</w:t>
      </w:r>
      <w:r w:rsidRPr="00EB6871">
        <w:t xml:space="preserve"> Esta partida incluye los costes de la gestión fiscal, auditoria, presentación impuesto IAE así como traducciones necesarias durante el año de documentos oficiales y gastos bancarios. Los costes totales para el 202</w:t>
      </w:r>
      <w:r w:rsidR="00DB29CC">
        <w:t>2</w:t>
      </w:r>
      <w:r w:rsidRPr="00EB6871">
        <w:t xml:space="preserve"> ascienden a </w:t>
      </w:r>
      <w:r w:rsidR="00DB29CC">
        <w:t>35</w:t>
      </w:r>
      <w:r w:rsidRPr="00EB6871">
        <w:t xml:space="preserve"> k€.</w:t>
      </w:r>
    </w:p>
    <w:p w14:paraId="28B2102B" w14:textId="77777777" w:rsidR="00BF2228" w:rsidRPr="00EB6871" w:rsidRDefault="00BF2228" w:rsidP="00FA1E85">
      <w:pPr>
        <w:pStyle w:val="Prrafodelista"/>
        <w:ind w:left="567"/>
        <w:jc w:val="left"/>
      </w:pPr>
    </w:p>
    <w:p w14:paraId="0F606AC0" w14:textId="228D14D1" w:rsidR="000556E6" w:rsidRDefault="00177491" w:rsidP="007E746C">
      <w:pPr>
        <w:pStyle w:val="Prrafodelista"/>
        <w:numPr>
          <w:ilvl w:val="0"/>
          <w:numId w:val="18"/>
        </w:numPr>
        <w:ind w:left="567"/>
        <w:jc w:val="left"/>
      </w:pPr>
      <w:r w:rsidRPr="003B086D">
        <w:rPr>
          <w:rStyle w:val="nfasissutil"/>
        </w:rPr>
        <w:t>Facilities:</w:t>
      </w:r>
      <w:r w:rsidRPr="00EB6871">
        <w:t xml:space="preserve"> Es la partida de mayor presupuesto de servicios corporativos ya que incluye todos los costes de alquileres, suministros, limpieza y reciclaje, seguros y consumibles de oficina por valor de </w:t>
      </w:r>
      <w:r w:rsidR="00A12E6A">
        <w:t>351</w:t>
      </w:r>
      <w:r w:rsidRPr="00EB6871">
        <w:t xml:space="preserve"> k€ pero que en el año 202</w:t>
      </w:r>
      <w:r w:rsidR="00A12E6A">
        <w:t>2</w:t>
      </w:r>
      <w:r w:rsidRPr="00EB6871">
        <w:t xml:space="preserve"> se repartirán los gastos de alquiler y otros gastos de oficina entre la Fundación y su sociedad limitada, Barcelona Mobile Ventures. Por tanto, por refacturación de servicios se espera obtener un ingreso de 122 k€ con lo que compensaría el gasto y realmente su gasto será de 2</w:t>
      </w:r>
      <w:r w:rsidR="00A12E6A">
        <w:t>29</w:t>
      </w:r>
      <w:r w:rsidRPr="00EB6871">
        <w:t xml:space="preserve"> k€.  </w:t>
      </w:r>
    </w:p>
    <w:p w14:paraId="7887B9CC" w14:textId="19644DC0" w:rsidR="000556E6" w:rsidRDefault="000556E6" w:rsidP="000556E6">
      <w:pPr>
        <w:jc w:val="left"/>
      </w:pPr>
    </w:p>
    <w:p w14:paraId="38077E97" w14:textId="12903768" w:rsidR="00A12E6A" w:rsidRDefault="00A12E6A" w:rsidP="000556E6">
      <w:pPr>
        <w:jc w:val="left"/>
      </w:pPr>
    </w:p>
    <w:p w14:paraId="1767AB79" w14:textId="51ADDBEC" w:rsidR="00681013" w:rsidRPr="00EB6871" w:rsidRDefault="00681013" w:rsidP="00F24BAE">
      <w:pPr>
        <w:jc w:val="left"/>
      </w:pPr>
    </w:p>
    <w:bookmarkStart w:id="22" w:name="_Toc85297129"/>
    <w:p w14:paraId="5E979A42" w14:textId="469CA00A" w:rsidR="00177491" w:rsidRPr="00EB6871" w:rsidRDefault="00820A71" w:rsidP="000556E6">
      <w:pPr>
        <w:pStyle w:val="Ttulo2"/>
      </w:pPr>
      <w:r w:rsidRPr="00F1717C">
        <w:rPr>
          <w:noProof/>
        </w:rPr>
        <mc:AlternateContent>
          <mc:Choice Requires="wps">
            <w:drawing>
              <wp:anchor distT="0" distB="0" distL="114300" distR="114300" simplePos="0" relativeHeight="251658247" behindDoc="0" locked="1" layoutInCell="1" allowOverlap="1" wp14:anchorId="2B1AC376" wp14:editId="2B9F0FFB">
                <wp:simplePos x="0" y="0"/>
                <wp:positionH relativeFrom="margin">
                  <wp:posOffset>-23495</wp:posOffset>
                </wp:positionH>
                <wp:positionV relativeFrom="page">
                  <wp:posOffset>878840</wp:posOffset>
                </wp:positionV>
                <wp:extent cx="2159635" cy="314960"/>
                <wp:effectExtent l="0" t="0" r="0" b="8890"/>
                <wp:wrapTopAndBottom/>
                <wp:docPr id="10" name="Cuadro de texto 10"/>
                <wp:cNvGraphicFramePr/>
                <a:graphic xmlns:a="http://schemas.openxmlformats.org/drawingml/2006/main">
                  <a:graphicData uri="http://schemas.microsoft.com/office/word/2010/wordprocessingShape">
                    <wps:wsp>
                      <wps:cNvSpPr txBox="1"/>
                      <wps:spPr>
                        <a:xfrm>
                          <a:off x="0" y="0"/>
                          <a:ext cx="2159635" cy="314960"/>
                        </a:xfrm>
                        <a:prstGeom prst="rect">
                          <a:avLst/>
                        </a:prstGeom>
                        <a:solidFill>
                          <a:srgbClr val="C00000"/>
                        </a:solidFill>
                        <a:ln w="6350">
                          <a:noFill/>
                        </a:ln>
                      </wps:spPr>
                      <wps:txbx>
                        <w:txbxContent>
                          <w:p w14:paraId="3C300AB2" w14:textId="1732277C" w:rsidR="0065362D" w:rsidRDefault="0065362D" w:rsidP="00820A71">
                            <w:pPr>
                              <w:pStyle w:val="Ttulo1"/>
                            </w:pPr>
                            <w:bookmarkStart w:id="23" w:name="_Toc85297130"/>
                            <w:r>
                              <w:t>BALANCE DE SITUACIÓN</w:t>
                            </w:r>
                            <w:bookmarkEnd w:id="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AC376" id="Cuadro de texto 10" o:spid="_x0000_s1032" type="#_x0000_t202" style="position:absolute;left:0;text-align:left;margin-left:-1.85pt;margin-top:69.2pt;width:170.05pt;height:24.8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" fillcolor="#c00000" stroked="f" strokeweight=".5pt">
                <v:textbox>
                  <w:txbxContent>
                    <w:p w14:paraId="3C300AB2" w14:textId="1732277C" w:rsidR="0065362D" w:rsidRDefault="0065362D" w:rsidP="00820A71">
                      <w:pPr>
                        <w:pStyle w:val="Ttulo1"/>
                      </w:pPr>
                      <w:bookmarkStart w:id="31" w:name="_Toc85297130"/>
                      <w:r>
                        <w:t>BALANCE DE SITUACIÓN</w:t>
                      </w:r>
                      <w:bookmarkEnd w:id="31"/>
                    </w:p>
                  </w:txbxContent>
                </v:textbox>
                <w10:wrap type="topAndBottom" anchorx="margin" anchory="page"/>
                <w10:anchorlock/>
              </v:shape>
            </w:pict>
          </mc:Fallback>
        </mc:AlternateContent>
      </w:r>
      <w:r w:rsidR="00177491" w:rsidRPr="00EB6871">
        <w:t xml:space="preserve">6.1. </w:t>
      </w:r>
      <w:r w:rsidR="000556E6">
        <w:t>Ba</w:t>
      </w:r>
      <w:r w:rsidR="00A12E6A">
        <w:t>la</w:t>
      </w:r>
      <w:r w:rsidR="000556E6">
        <w:t>nce de situación 2022</w:t>
      </w:r>
      <w:bookmarkEnd w:id="22"/>
    </w:p>
    <w:tbl>
      <w:tblPr>
        <w:tblW w:w="8952" w:type="dxa"/>
        <w:tblCellMar>
          <w:left w:w="70" w:type="dxa"/>
          <w:right w:w="70" w:type="dxa"/>
        </w:tblCellMar>
        <w:tblLook w:val="04A0" w:firstRow="1" w:lastRow="0" w:firstColumn="1" w:lastColumn="0" w:noHBand="0" w:noVBand="1"/>
      </w:tblPr>
      <w:tblGrid>
        <w:gridCol w:w="1552"/>
        <w:gridCol w:w="2295"/>
        <w:gridCol w:w="1093"/>
        <w:gridCol w:w="335"/>
        <w:gridCol w:w="1258"/>
        <w:gridCol w:w="154"/>
        <w:gridCol w:w="1249"/>
        <w:gridCol w:w="169"/>
        <w:gridCol w:w="847"/>
      </w:tblGrid>
      <w:tr w:rsidR="00681013" w:rsidRPr="009109DE" w14:paraId="59BB679B" w14:textId="77777777" w:rsidTr="009109DE">
        <w:trPr>
          <w:trHeight w:val="505"/>
        </w:trPr>
        <w:tc>
          <w:tcPr>
            <w:tcW w:w="1552" w:type="dxa"/>
            <w:tcBorders>
              <w:top w:val="nil"/>
              <w:left w:val="nil"/>
              <w:bottom w:val="nil"/>
              <w:right w:val="nil"/>
            </w:tcBorders>
            <w:shd w:val="clear" w:color="auto" w:fill="auto"/>
            <w:noWrap/>
            <w:vAlign w:val="bottom"/>
            <w:hideMark/>
          </w:tcPr>
          <w:p w14:paraId="212F6E3E" w14:textId="77777777" w:rsidR="00681013" w:rsidRPr="009109DE" w:rsidRDefault="00681013" w:rsidP="00084399">
            <w:pPr>
              <w:rPr>
                <w:sz w:val="16"/>
                <w:szCs w:val="16"/>
                <w:lang w:eastAsia="es-ES"/>
              </w:rPr>
            </w:pPr>
          </w:p>
        </w:tc>
        <w:tc>
          <w:tcPr>
            <w:tcW w:w="2295" w:type="dxa"/>
            <w:tcBorders>
              <w:top w:val="nil"/>
              <w:left w:val="nil"/>
              <w:bottom w:val="nil"/>
              <w:right w:val="nil"/>
            </w:tcBorders>
            <w:shd w:val="clear" w:color="auto" w:fill="auto"/>
            <w:noWrap/>
            <w:vAlign w:val="bottom"/>
            <w:hideMark/>
          </w:tcPr>
          <w:p w14:paraId="33A507A2" w14:textId="77777777" w:rsidR="00681013" w:rsidRPr="009109DE" w:rsidRDefault="00681013" w:rsidP="00084399">
            <w:pPr>
              <w:rPr>
                <w:sz w:val="16"/>
                <w:szCs w:val="16"/>
                <w:lang w:eastAsia="es-ES"/>
              </w:rPr>
            </w:pPr>
          </w:p>
        </w:tc>
        <w:tc>
          <w:tcPr>
            <w:tcW w:w="1093" w:type="dxa"/>
            <w:tcBorders>
              <w:top w:val="nil"/>
              <w:left w:val="nil"/>
              <w:bottom w:val="nil"/>
              <w:right w:val="nil"/>
            </w:tcBorders>
            <w:shd w:val="clear" w:color="auto" w:fill="C00000"/>
            <w:vAlign w:val="center"/>
            <w:hideMark/>
          </w:tcPr>
          <w:p w14:paraId="5D2293C9" w14:textId="2CC418FF" w:rsidR="00681013" w:rsidRPr="009109DE" w:rsidRDefault="00681013" w:rsidP="009109DE">
            <w:pPr>
              <w:jc w:val="center"/>
              <w:rPr>
                <w:rStyle w:val="nfasissutil"/>
                <w:sz w:val="16"/>
                <w:szCs w:val="16"/>
              </w:rPr>
            </w:pPr>
            <w:r w:rsidRPr="009109DE">
              <w:rPr>
                <w:rStyle w:val="nfasissutil"/>
                <w:sz w:val="16"/>
                <w:szCs w:val="16"/>
              </w:rPr>
              <w:t>Prev. Cierre 202</w:t>
            </w:r>
            <w:r w:rsidR="00A12E6A">
              <w:rPr>
                <w:rStyle w:val="nfasissutil"/>
                <w:sz w:val="16"/>
                <w:szCs w:val="16"/>
              </w:rPr>
              <w:t>1</w:t>
            </w:r>
          </w:p>
        </w:tc>
        <w:tc>
          <w:tcPr>
            <w:tcW w:w="335" w:type="dxa"/>
            <w:tcBorders>
              <w:top w:val="nil"/>
              <w:left w:val="nil"/>
              <w:bottom w:val="nil"/>
              <w:right w:val="nil"/>
            </w:tcBorders>
            <w:shd w:val="clear" w:color="auto" w:fill="auto"/>
            <w:noWrap/>
            <w:vAlign w:val="bottom"/>
            <w:hideMark/>
          </w:tcPr>
          <w:p w14:paraId="128C803B"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auto" w:fill="C00000"/>
            <w:vAlign w:val="center"/>
            <w:hideMark/>
          </w:tcPr>
          <w:p w14:paraId="332014BA" w14:textId="60B2D06B" w:rsidR="00681013" w:rsidRPr="009109DE" w:rsidRDefault="00681013" w:rsidP="009109DE">
            <w:pPr>
              <w:jc w:val="center"/>
              <w:rPr>
                <w:rStyle w:val="nfasissutil"/>
                <w:sz w:val="16"/>
                <w:szCs w:val="16"/>
              </w:rPr>
            </w:pPr>
            <w:r w:rsidRPr="009109DE">
              <w:rPr>
                <w:rStyle w:val="nfasissutil"/>
                <w:sz w:val="16"/>
                <w:szCs w:val="16"/>
              </w:rPr>
              <w:t>Presupuesto 202</w:t>
            </w:r>
            <w:r w:rsidR="00A12E6A">
              <w:rPr>
                <w:rStyle w:val="nfasissutil"/>
                <w:sz w:val="16"/>
                <w:szCs w:val="16"/>
              </w:rPr>
              <w:t>2</w:t>
            </w:r>
          </w:p>
        </w:tc>
        <w:tc>
          <w:tcPr>
            <w:tcW w:w="154" w:type="dxa"/>
            <w:tcBorders>
              <w:top w:val="nil"/>
              <w:left w:val="nil"/>
              <w:bottom w:val="nil"/>
              <w:right w:val="nil"/>
            </w:tcBorders>
            <w:shd w:val="clear" w:color="auto" w:fill="auto"/>
            <w:vAlign w:val="center"/>
            <w:hideMark/>
          </w:tcPr>
          <w:p w14:paraId="70C7ED5F" w14:textId="77777777" w:rsidR="00681013" w:rsidRPr="009109DE" w:rsidRDefault="00681013" w:rsidP="009109DE">
            <w:pPr>
              <w:jc w:val="center"/>
              <w:rPr>
                <w:rStyle w:val="nfasissutil"/>
                <w:sz w:val="16"/>
                <w:szCs w:val="16"/>
              </w:rPr>
            </w:pPr>
          </w:p>
        </w:tc>
        <w:tc>
          <w:tcPr>
            <w:tcW w:w="1249" w:type="dxa"/>
            <w:tcBorders>
              <w:top w:val="nil"/>
              <w:left w:val="nil"/>
              <w:bottom w:val="nil"/>
              <w:right w:val="nil"/>
            </w:tcBorders>
            <w:shd w:val="clear" w:color="auto" w:fill="C00000"/>
            <w:vAlign w:val="center"/>
            <w:hideMark/>
          </w:tcPr>
          <w:p w14:paraId="40EA527E" w14:textId="77777777" w:rsidR="00681013" w:rsidRPr="009109DE" w:rsidRDefault="00681013" w:rsidP="009109DE">
            <w:pPr>
              <w:jc w:val="center"/>
              <w:rPr>
                <w:rStyle w:val="nfasissutil"/>
                <w:sz w:val="16"/>
                <w:szCs w:val="16"/>
              </w:rPr>
            </w:pPr>
            <w:r w:rsidRPr="009109DE">
              <w:rPr>
                <w:rStyle w:val="nfasissutil"/>
                <w:sz w:val="16"/>
                <w:szCs w:val="16"/>
              </w:rPr>
              <w:t>Diferencia</w:t>
            </w:r>
          </w:p>
        </w:tc>
        <w:tc>
          <w:tcPr>
            <w:tcW w:w="169" w:type="dxa"/>
            <w:tcBorders>
              <w:top w:val="nil"/>
              <w:left w:val="nil"/>
              <w:bottom w:val="nil"/>
              <w:right w:val="nil"/>
            </w:tcBorders>
            <w:shd w:val="clear" w:color="auto" w:fill="auto"/>
            <w:vAlign w:val="center"/>
            <w:hideMark/>
          </w:tcPr>
          <w:p w14:paraId="786B84B6" w14:textId="77777777" w:rsidR="00681013" w:rsidRPr="009109DE" w:rsidRDefault="00681013" w:rsidP="009109DE">
            <w:pPr>
              <w:jc w:val="center"/>
              <w:rPr>
                <w:rStyle w:val="nfasissutil"/>
                <w:sz w:val="16"/>
                <w:szCs w:val="16"/>
              </w:rPr>
            </w:pPr>
          </w:p>
        </w:tc>
        <w:tc>
          <w:tcPr>
            <w:tcW w:w="847" w:type="dxa"/>
            <w:tcBorders>
              <w:top w:val="nil"/>
              <w:left w:val="nil"/>
              <w:bottom w:val="nil"/>
              <w:right w:val="nil"/>
            </w:tcBorders>
            <w:shd w:val="clear" w:color="auto" w:fill="C00000"/>
            <w:vAlign w:val="center"/>
            <w:hideMark/>
          </w:tcPr>
          <w:p w14:paraId="4FCF2B42" w14:textId="77777777" w:rsidR="00681013" w:rsidRPr="009109DE" w:rsidRDefault="00681013" w:rsidP="009109DE">
            <w:pPr>
              <w:jc w:val="center"/>
              <w:rPr>
                <w:rStyle w:val="nfasissutil"/>
                <w:sz w:val="16"/>
                <w:szCs w:val="16"/>
              </w:rPr>
            </w:pPr>
            <w:r w:rsidRPr="009109DE">
              <w:rPr>
                <w:rStyle w:val="nfasissutil"/>
                <w:sz w:val="16"/>
                <w:szCs w:val="16"/>
              </w:rPr>
              <w:t>%</w:t>
            </w:r>
          </w:p>
        </w:tc>
      </w:tr>
      <w:tr w:rsidR="00681013" w:rsidRPr="009109DE" w14:paraId="0C14C330" w14:textId="77777777" w:rsidTr="009109DE">
        <w:trPr>
          <w:trHeight w:val="296"/>
        </w:trPr>
        <w:tc>
          <w:tcPr>
            <w:tcW w:w="3847" w:type="dxa"/>
            <w:gridSpan w:val="2"/>
            <w:tcBorders>
              <w:top w:val="nil"/>
              <w:left w:val="nil"/>
              <w:bottom w:val="nil"/>
              <w:right w:val="nil"/>
            </w:tcBorders>
            <w:shd w:val="clear" w:color="auto" w:fill="auto"/>
            <w:noWrap/>
            <w:vAlign w:val="bottom"/>
            <w:hideMark/>
          </w:tcPr>
          <w:p w14:paraId="05827CFB" w14:textId="77777777" w:rsidR="00681013" w:rsidRPr="009109DE" w:rsidRDefault="00681013" w:rsidP="00084399">
            <w:pPr>
              <w:rPr>
                <w:sz w:val="16"/>
                <w:szCs w:val="16"/>
                <w:lang w:eastAsia="es-ES"/>
              </w:rPr>
            </w:pPr>
            <w:r w:rsidRPr="009109DE">
              <w:rPr>
                <w:sz w:val="16"/>
                <w:szCs w:val="16"/>
                <w:lang w:eastAsia="es-ES"/>
              </w:rPr>
              <w:t>Inmovilizado intangible</w:t>
            </w:r>
          </w:p>
        </w:tc>
        <w:tc>
          <w:tcPr>
            <w:tcW w:w="1093" w:type="dxa"/>
            <w:tcBorders>
              <w:top w:val="nil"/>
              <w:left w:val="nil"/>
              <w:bottom w:val="nil"/>
              <w:right w:val="nil"/>
            </w:tcBorders>
            <w:shd w:val="clear" w:color="auto" w:fill="auto"/>
            <w:noWrap/>
            <w:vAlign w:val="bottom"/>
            <w:hideMark/>
          </w:tcPr>
          <w:p w14:paraId="7A014A39" w14:textId="21DBF268" w:rsidR="00681013" w:rsidRPr="009109DE" w:rsidRDefault="00352029" w:rsidP="009109DE">
            <w:pPr>
              <w:jc w:val="center"/>
              <w:rPr>
                <w:sz w:val="16"/>
                <w:szCs w:val="16"/>
                <w:lang w:eastAsia="es-ES"/>
              </w:rPr>
            </w:pPr>
            <w:r>
              <w:rPr>
                <w:sz w:val="16"/>
                <w:szCs w:val="16"/>
                <w:lang w:eastAsia="es-ES"/>
              </w:rPr>
              <w:t>1</w:t>
            </w:r>
            <w:r w:rsidRPr="00352029">
              <w:rPr>
                <w:sz w:val="16"/>
                <w:szCs w:val="16"/>
                <w:lang w:eastAsia="es-ES"/>
              </w:rPr>
              <w:t>0.741</w:t>
            </w:r>
          </w:p>
        </w:tc>
        <w:tc>
          <w:tcPr>
            <w:tcW w:w="335" w:type="dxa"/>
            <w:tcBorders>
              <w:top w:val="nil"/>
              <w:left w:val="nil"/>
              <w:bottom w:val="nil"/>
              <w:right w:val="nil"/>
            </w:tcBorders>
            <w:shd w:val="clear" w:color="auto" w:fill="auto"/>
            <w:noWrap/>
            <w:vAlign w:val="bottom"/>
            <w:hideMark/>
          </w:tcPr>
          <w:p w14:paraId="1E8970E2"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auto" w:fill="auto"/>
            <w:noWrap/>
            <w:vAlign w:val="bottom"/>
            <w:hideMark/>
          </w:tcPr>
          <w:p w14:paraId="19BC5177" w14:textId="35CBD8C5" w:rsidR="00681013" w:rsidRPr="009109DE" w:rsidRDefault="00352029" w:rsidP="009109DE">
            <w:pPr>
              <w:jc w:val="center"/>
              <w:rPr>
                <w:sz w:val="16"/>
                <w:szCs w:val="16"/>
                <w:lang w:eastAsia="es-ES"/>
              </w:rPr>
            </w:pPr>
            <w:r>
              <w:rPr>
                <w:sz w:val="16"/>
                <w:szCs w:val="16"/>
                <w:lang w:eastAsia="es-ES"/>
              </w:rPr>
              <w:t>2</w:t>
            </w:r>
            <w:r w:rsidRPr="00352029">
              <w:rPr>
                <w:sz w:val="16"/>
                <w:szCs w:val="16"/>
                <w:lang w:eastAsia="es-ES"/>
              </w:rPr>
              <w:t>4.621</w:t>
            </w:r>
          </w:p>
        </w:tc>
        <w:tc>
          <w:tcPr>
            <w:tcW w:w="154" w:type="dxa"/>
            <w:tcBorders>
              <w:top w:val="nil"/>
              <w:left w:val="nil"/>
              <w:bottom w:val="nil"/>
              <w:right w:val="nil"/>
            </w:tcBorders>
            <w:shd w:val="clear" w:color="auto" w:fill="auto"/>
            <w:noWrap/>
            <w:vAlign w:val="bottom"/>
            <w:hideMark/>
          </w:tcPr>
          <w:p w14:paraId="688E0105" w14:textId="77777777" w:rsidR="00681013" w:rsidRPr="009109DE" w:rsidRDefault="00681013" w:rsidP="009109DE">
            <w:pPr>
              <w:jc w:val="center"/>
              <w:rPr>
                <w:sz w:val="16"/>
                <w:szCs w:val="16"/>
                <w:lang w:eastAsia="es-ES"/>
              </w:rPr>
            </w:pPr>
          </w:p>
        </w:tc>
        <w:tc>
          <w:tcPr>
            <w:tcW w:w="1249" w:type="dxa"/>
            <w:tcBorders>
              <w:top w:val="nil"/>
              <w:left w:val="nil"/>
              <w:bottom w:val="nil"/>
              <w:right w:val="nil"/>
            </w:tcBorders>
            <w:shd w:val="clear" w:color="auto" w:fill="auto"/>
            <w:noWrap/>
            <w:vAlign w:val="bottom"/>
            <w:hideMark/>
          </w:tcPr>
          <w:p w14:paraId="2AC9FEE6" w14:textId="689A79A3" w:rsidR="00681013" w:rsidRPr="009109DE" w:rsidRDefault="00352029" w:rsidP="009109DE">
            <w:pPr>
              <w:jc w:val="center"/>
              <w:rPr>
                <w:sz w:val="16"/>
                <w:szCs w:val="16"/>
                <w:lang w:eastAsia="es-ES"/>
              </w:rPr>
            </w:pPr>
            <w:r>
              <w:rPr>
                <w:sz w:val="16"/>
                <w:szCs w:val="16"/>
                <w:lang w:eastAsia="es-ES"/>
              </w:rPr>
              <w:t>13.880</w:t>
            </w:r>
          </w:p>
        </w:tc>
        <w:tc>
          <w:tcPr>
            <w:tcW w:w="169" w:type="dxa"/>
            <w:tcBorders>
              <w:top w:val="nil"/>
              <w:left w:val="nil"/>
              <w:bottom w:val="nil"/>
              <w:right w:val="nil"/>
            </w:tcBorders>
            <w:shd w:val="clear" w:color="auto" w:fill="auto"/>
            <w:noWrap/>
            <w:vAlign w:val="bottom"/>
            <w:hideMark/>
          </w:tcPr>
          <w:p w14:paraId="22448E7B" w14:textId="77777777" w:rsidR="00681013" w:rsidRPr="009109DE" w:rsidRDefault="00681013" w:rsidP="009109DE">
            <w:pPr>
              <w:jc w:val="center"/>
              <w:rPr>
                <w:sz w:val="16"/>
                <w:szCs w:val="16"/>
                <w:lang w:eastAsia="es-ES"/>
              </w:rPr>
            </w:pPr>
          </w:p>
        </w:tc>
        <w:tc>
          <w:tcPr>
            <w:tcW w:w="847" w:type="dxa"/>
            <w:tcBorders>
              <w:top w:val="nil"/>
              <w:left w:val="nil"/>
              <w:bottom w:val="nil"/>
              <w:right w:val="nil"/>
            </w:tcBorders>
            <w:shd w:val="clear" w:color="auto" w:fill="auto"/>
            <w:noWrap/>
            <w:vAlign w:val="bottom"/>
            <w:hideMark/>
          </w:tcPr>
          <w:p w14:paraId="3B1ABEC1" w14:textId="1A02F0FE" w:rsidR="00681013" w:rsidRPr="009109DE" w:rsidRDefault="00352029" w:rsidP="009109DE">
            <w:pPr>
              <w:jc w:val="center"/>
              <w:rPr>
                <w:sz w:val="16"/>
                <w:szCs w:val="16"/>
                <w:lang w:eastAsia="es-ES"/>
              </w:rPr>
            </w:pPr>
            <w:r>
              <w:rPr>
                <w:sz w:val="16"/>
                <w:szCs w:val="16"/>
                <w:lang w:eastAsia="es-ES"/>
              </w:rPr>
              <w:t>129</w:t>
            </w:r>
            <w:r w:rsidR="00681013" w:rsidRPr="009109DE">
              <w:rPr>
                <w:sz w:val="16"/>
                <w:szCs w:val="16"/>
                <w:lang w:eastAsia="es-ES"/>
              </w:rPr>
              <w:t>%</w:t>
            </w:r>
          </w:p>
        </w:tc>
      </w:tr>
      <w:tr w:rsidR="00681013" w:rsidRPr="009109DE" w14:paraId="18665733" w14:textId="77777777" w:rsidTr="009109DE">
        <w:trPr>
          <w:trHeight w:val="296"/>
        </w:trPr>
        <w:tc>
          <w:tcPr>
            <w:tcW w:w="3847" w:type="dxa"/>
            <w:gridSpan w:val="2"/>
            <w:tcBorders>
              <w:top w:val="nil"/>
              <w:left w:val="nil"/>
              <w:bottom w:val="nil"/>
              <w:right w:val="nil"/>
            </w:tcBorders>
            <w:shd w:val="clear" w:color="auto" w:fill="auto"/>
            <w:noWrap/>
            <w:vAlign w:val="bottom"/>
            <w:hideMark/>
          </w:tcPr>
          <w:p w14:paraId="1390D072" w14:textId="77777777" w:rsidR="00681013" w:rsidRPr="009109DE" w:rsidRDefault="00681013" w:rsidP="00084399">
            <w:pPr>
              <w:rPr>
                <w:sz w:val="16"/>
                <w:szCs w:val="16"/>
                <w:lang w:eastAsia="es-ES"/>
              </w:rPr>
            </w:pPr>
            <w:r w:rsidRPr="009109DE">
              <w:rPr>
                <w:sz w:val="16"/>
                <w:szCs w:val="16"/>
                <w:lang w:eastAsia="es-ES"/>
              </w:rPr>
              <w:t>Inmovilizado material</w:t>
            </w:r>
          </w:p>
        </w:tc>
        <w:tc>
          <w:tcPr>
            <w:tcW w:w="1093" w:type="dxa"/>
            <w:tcBorders>
              <w:top w:val="nil"/>
              <w:left w:val="nil"/>
              <w:bottom w:val="nil"/>
              <w:right w:val="nil"/>
            </w:tcBorders>
            <w:shd w:val="clear" w:color="auto" w:fill="auto"/>
            <w:noWrap/>
            <w:vAlign w:val="bottom"/>
            <w:hideMark/>
          </w:tcPr>
          <w:p w14:paraId="35996E3F" w14:textId="3835DCDF" w:rsidR="00681013" w:rsidRPr="009109DE" w:rsidRDefault="00352029" w:rsidP="009109DE">
            <w:pPr>
              <w:jc w:val="center"/>
              <w:rPr>
                <w:sz w:val="16"/>
                <w:szCs w:val="16"/>
                <w:lang w:eastAsia="es-ES"/>
              </w:rPr>
            </w:pPr>
            <w:r>
              <w:rPr>
                <w:sz w:val="16"/>
                <w:szCs w:val="16"/>
                <w:lang w:eastAsia="es-ES"/>
              </w:rPr>
              <w:t>151.368</w:t>
            </w:r>
          </w:p>
        </w:tc>
        <w:tc>
          <w:tcPr>
            <w:tcW w:w="335" w:type="dxa"/>
            <w:tcBorders>
              <w:top w:val="nil"/>
              <w:left w:val="nil"/>
              <w:bottom w:val="nil"/>
              <w:right w:val="nil"/>
            </w:tcBorders>
            <w:shd w:val="clear" w:color="auto" w:fill="auto"/>
            <w:noWrap/>
            <w:vAlign w:val="bottom"/>
            <w:hideMark/>
          </w:tcPr>
          <w:p w14:paraId="5A272FA4"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auto" w:fill="auto"/>
            <w:noWrap/>
            <w:vAlign w:val="bottom"/>
            <w:hideMark/>
          </w:tcPr>
          <w:p w14:paraId="2C5B8EBB" w14:textId="65F8BE53" w:rsidR="00681013" w:rsidRPr="009109DE" w:rsidRDefault="00352029" w:rsidP="009109DE">
            <w:pPr>
              <w:jc w:val="center"/>
              <w:rPr>
                <w:sz w:val="16"/>
                <w:szCs w:val="16"/>
                <w:lang w:eastAsia="es-ES"/>
              </w:rPr>
            </w:pPr>
            <w:r>
              <w:rPr>
                <w:sz w:val="16"/>
                <w:szCs w:val="16"/>
                <w:lang w:eastAsia="es-ES"/>
              </w:rPr>
              <w:t>123.368</w:t>
            </w:r>
          </w:p>
        </w:tc>
        <w:tc>
          <w:tcPr>
            <w:tcW w:w="154" w:type="dxa"/>
            <w:tcBorders>
              <w:top w:val="nil"/>
              <w:left w:val="nil"/>
              <w:bottom w:val="nil"/>
              <w:right w:val="nil"/>
            </w:tcBorders>
            <w:shd w:val="clear" w:color="auto" w:fill="auto"/>
            <w:noWrap/>
            <w:vAlign w:val="bottom"/>
            <w:hideMark/>
          </w:tcPr>
          <w:p w14:paraId="4F7F61D7" w14:textId="77777777" w:rsidR="00681013" w:rsidRPr="009109DE" w:rsidRDefault="00681013" w:rsidP="009109DE">
            <w:pPr>
              <w:jc w:val="center"/>
              <w:rPr>
                <w:sz w:val="16"/>
                <w:szCs w:val="16"/>
                <w:lang w:eastAsia="es-ES"/>
              </w:rPr>
            </w:pPr>
          </w:p>
        </w:tc>
        <w:tc>
          <w:tcPr>
            <w:tcW w:w="1249" w:type="dxa"/>
            <w:tcBorders>
              <w:top w:val="nil"/>
              <w:left w:val="nil"/>
              <w:bottom w:val="nil"/>
              <w:right w:val="nil"/>
            </w:tcBorders>
            <w:shd w:val="clear" w:color="auto" w:fill="auto"/>
            <w:noWrap/>
            <w:vAlign w:val="bottom"/>
            <w:hideMark/>
          </w:tcPr>
          <w:p w14:paraId="64D96100" w14:textId="33BF0A5E" w:rsidR="00681013" w:rsidRPr="009109DE" w:rsidRDefault="00681013" w:rsidP="009109DE">
            <w:pPr>
              <w:jc w:val="center"/>
              <w:rPr>
                <w:sz w:val="16"/>
                <w:szCs w:val="16"/>
                <w:lang w:eastAsia="es-ES"/>
              </w:rPr>
            </w:pPr>
            <w:r w:rsidRPr="009109DE">
              <w:rPr>
                <w:sz w:val="16"/>
                <w:szCs w:val="16"/>
                <w:lang w:eastAsia="es-ES"/>
              </w:rPr>
              <w:t>-</w:t>
            </w:r>
            <w:r w:rsidR="00352029">
              <w:rPr>
                <w:sz w:val="16"/>
                <w:szCs w:val="16"/>
                <w:lang w:eastAsia="es-ES"/>
              </w:rPr>
              <w:t>28.000</w:t>
            </w:r>
          </w:p>
        </w:tc>
        <w:tc>
          <w:tcPr>
            <w:tcW w:w="169" w:type="dxa"/>
            <w:tcBorders>
              <w:top w:val="nil"/>
              <w:left w:val="nil"/>
              <w:bottom w:val="nil"/>
              <w:right w:val="nil"/>
            </w:tcBorders>
            <w:shd w:val="clear" w:color="auto" w:fill="auto"/>
            <w:noWrap/>
            <w:vAlign w:val="bottom"/>
            <w:hideMark/>
          </w:tcPr>
          <w:p w14:paraId="026B2C6C" w14:textId="77777777" w:rsidR="00681013" w:rsidRPr="009109DE" w:rsidRDefault="00681013" w:rsidP="009109DE">
            <w:pPr>
              <w:jc w:val="center"/>
              <w:rPr>
                <w:sz w:val="16"/>
                <w:szCs w:val="16"/>
                <w:lang w:eastAsia="es-ES"/>
              </w:rPr>
            </w:pPr>
          </w:p>
        </w:tc>
        <w:tc>
          <w:tcPr>
            <w:tcW w:w="847" w:type="dxa"/>
            <w:tcBorders>
              <w:top w:val="nil"/>
              <w:left w:val="nil"/>
              <w:bottom w:val="nil"/>
              <w:right w:val="nil"/>
            </w:tcBorders>
            <w:shd w:val="clear" w:color="auto" w:fill="auto"/>
            <w:noWrap/>
            <w:vAlign w:val="bottom"/>
            <w:hideMark/>
          </w:tcPr>
          <w:p w14:paraId="6493E288" w14:textId="30803697" w:rsidR="00681013" w:rsidRPr="009109DE" w:rsidRDefault="00681013" w:rsidP="009109DE">
            <w:pPr>
              <w:jc w:val="center"/>
              <w:rPr>
                <w:sz w:val="16"/>
                <w:szCs w:val="16"/>
                <w:lang w:eastAsia="es-ES"/>
              </w:rPr>
            </w:pPr>
            <w:r w:rsidRPr="009109DE">
              <w:rPr>
                <w:sz w:val="16"/>
                <w:szCs w:val="16"/>
                <w:lang w:eastAsia="es-ES"/>
              </w:rPr>
              <w:t>-1</w:t>
            </w:r>
            <w:r w:rsidR="00352029">
              <w:rPr>
                <w:sz w:val="16"/>
                <w:szCs w:val="16"/>
                <w:lang w:eastAsia="es-ES"/>
              </w:rPr>
              <w:t>8</w:t>
            </w:r>
            <w:r w:rsidRPr="009109DE">
              <w:rPr>
                <w:sz w:val="16"/>
                <w:szCs w:val="16"/>
                <w:lang w:eastAsia="es-ES"/>
              </w:rPr>
              <w:t>%</w:t>
            </w:r>
          </w:p>
        </w:tc>
      </w:tr>
      <w:tr w:rsidR="00681013" w:rsidRPr="009109DE" w14:paraId="5662B4BB" w14:textId="77777777" w:rsidTr="009109DE">
        <w:trPr>
          <w:trHeight w:val="296"/>
        </w:trPr>
        <w:tc>
          <w:tcPr>
            <w:tcW w:w="3847" w:type="dxa"/>
            <w:gridSpan w:val="2"/>
            <w:tcBorders>
              <w:top w:val="nil"/>
              <w:left w:val="nil"/>
              <w:bottom w:val="nil"/>
              <w:right w:val="nil"/>
            </w:tcBorders>
            <w:shd w:val="clear" w:color="auto" w:fill="auto"/>
            <w:noWrap/>
            <w:vAlign w:val="bottom"/>
            <w:hideMark/>
          </w:tcPr>
          <w:p w14:paraId="292BF733" w14:textId="77777777" w:rsidR="00681013" w:rsidRPr="009109DE" w:rsidRDefault="00681013" w:rsidP="00084399">
            <w:pPr>
              <w:rPr>
                <w:sz w:val="16"/>
                <w:szCs w:val="16"/>
                <w:lang w:eastAsia="es-ES"/>
              </w:rPr>
            </w:pPr>
            <w:r w:rsidRPr="009109DE">
              <w:rPr>
                <w:sz w:val="16"/>
                <w:szCs w:val="16"/>
                <w:lang w:eastAsia="es-ES"/>
              </w:rPr>
              <w:t>Inversiones Entidades del Grupo</w:t>
            </w:r>
          </w:p>
        </w:tc>
        <w:tc>
          <w:tcPr>
            <w:tcW w:w="1093" w:type="dxa"/>
            <w:tcBorders>
              <w:top w:val="nil"/>
              <w:left w:val="nil"/>
              <w:bottom w:val="nil"/>
              <w:right w:val="nil"/>
            </w:tcBorders>
            <w:shd w:val="clear" w:color="auto" w:fill="auto"/>
            <w:noWrap/>
            <w:vAlign w:val="bottom"/>
            <w:hideMark/>
          </w:tcPr>
          <w:p w14:paraId="16B737CC" w14:textId="1424E074" w:rsidR="00681013" w:rsidRPr="009109DE" w:rsidRDefault="00352029" w:rsidP="009109DE">
            <w:pPr>
              <w:jc w:val="center"/>
              <w:rPr>
                <w:sz w:val="16"/>
                <w:szCs w:val="16"/>
                <w:lang w:eastAsia="es-ES"/>
              </w:rPr>
            </w:pPr>
            <w:r>
              <w:rPr>
                <w:sz w:val="16"/>
                <w:szCs w:val="16"/>
                <w:lang w:eastAsia="es-ES"/>
              </w:rPr>
              <w:t>3.317.156</w:t>
            </w:r>
          </w:p>
        </w:tc>
        <w:tc>
          <w:tcPr>
            <w:tcW w:w="335" w:type="dxa"/>
            <w:tcBorders>
              <w:top w:val="nil"/>
              <w:left w:val="nil"/>
              <w:bottom w:val="nil"/>
              <w:right w:val="nil"/>
            </w:tcBorders>
            <w:shd w:val="clear" w:color="auto" w:fill="auto"/>
            <w:noWrap/>
            <w:vAlign w:val="bottom"/>
            <w:hideMark/>
          </w:tcPr>
          <w:p w14:paraId="0DE43F8A"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auto" w:fill="auto"/>
            <w:noWrap/>
            <w:vAlign w:val="bottom"/>
            <w:hideMark/>
          </w:tcPr>
          <w:p w14:paraId="08664DFA" w14:textId="00CE8535" w:rsidR="00681013" w:rsidRPr="009109DE" w:rsidRDefault="00A706F5" w:rsidP="009109DE">
            <w:pPr>
              <w:jc w:val="center"/>
              <w:rPr>
                <w:sz w:val="16"/>
                <w:szCs w:val="16"/>
                <w:lang w:eastAsia="es-ES"/>
              </w:rPr>
            </w:pPr>
            <w:r>
              <w:rPr>
                <w:sz w:val="16"/>
                <w:szCs w:val="16"/>
                <w:lang w:eastAsia="es-ES"/>
              </w:rPr>
              <w:t>3.477.549</w:t>
            </w:r>
          </w:p>
        </w:tc>
        <w:tc>
          <w:tcPr>
            <w:tcW w:w="154" w:type="dxa"/>
            <w:tcBorders>
              <w:top w:val="nil"/>
              <w:left w:val="nil"/>
              <w:bottom w:val="nil"/>
              <w:right w:val="nil"/>
            </w:tcBorders>
            <w:shd w:val="clear" w:color="auto" w:fill="auto"/>
            <w:noWrap/>
            <w:vAlign w:val="bottom"/>
            <w:hideMark/>
          </w:tcPr>
          <w:p w14:paraId="57CA362D" w14:textId="77777777" w:rsidR="00681013" w:rsidRPr="009109DE" w:rsidRDefault="00681013" w:rsidP="009109DE">
            <w:pPr>
              <w:jc w:val="center"/>
              <w:rPr>
                <w:sz w:val="16"/>
                <w:szCs w:val="16"/>
                <w:lang w:eastAsia="es-ES"/>
              </w:rPr>
            </w:pPr>
          </w:p>
        </w:tc>
        <w:tc>
          <w:tcPr>
            <w:tcW w:w="1249" w:type="dxa"/>
            <w:tcBorders>
              <w:top w:val="nil"/>
              <w:left w:val="nil"/>
              <w:bottom w:val="nil"/>
              <w:right w:val="nil"/>
            </w:tcBorders>
            <w:shd w:val="clear" w:color="auto" w:fill="auto"/>
            <w:noWrap/>
            <w:vAlign w:val="bottom"/>
            <w:hideMark/>
          </w:tcPr>
          <w:p w14:paraId="038D4BB2" w14:textId="658ED8E3" w:rsidR="00681013" w:rsidRPr="009109DE" w:rsidRDefault="00A706F5" w:rsidP="009109DE">
            <w:pPr>
              <w:jc w:val="center"/>
              <w:rPr>
                <w:sz w:val="16"/>
                <w:szCs w:val="16"/>
                <w:lang w:eastAsia="es-ES"/>
              </w:rPr>
            </w:pPr>
            <w:r>
              <w:rPr>
                <w:sz w:val="16"/>
                <w:szCs w:val="16"/>
                <w:lang w:eastAsia="es-ES"/>
              </w:rPr>
              <w:t>160.393</w:t>
            </w:r>
          </w:p>
        </w:tc>
        <w:tc>
          <w:tcPr>
            <w:tcW w:w="169" w:type="dxa"/>
            <w:tcBorders>
              <w:top w:val="nil"/>
              <w:left w:val="nil"/>
              <w:bottom w:val="nil"/>
              <w:right w:val="nil"/>
            </w:tcBorders>
            <w:shd w:val="clear" w:color="auto" w:fill="auto"/>
            <w:noWrap/>
            <w:vAlign w:val="bottom"/>
            <w:hideMark/>
          </w:tcPr>
          <w:p w14:paraId="5E9D9BFE" w14:textId="77777777" w:rsidR="00681013" w:rsidRPr="009109DE" w:rsidRDefault="00681013" w:rsidP="009109DE">
            <w:pPr>
              <w:jc w:val="center"/>
              <w:rPr>
                <w:sz w:val="16"/>
                <w:szCs w:val="16"/>
                <w:lang w:eastAsia="es-ES"/>
              </w:rPr>
            </w:pPr>
          </w:p>
        </w:tc>
        <w:tc>
          <w:tcPr>
            <w:tcW w:w="847" w:type="dxa"/>
            <w:tcBorders>
              <w:top w:val="nil"/>
              <w:left w:val="nil"/>
              <w:bottom w:val="nil"/>
              <w:right w:val="nil"/>
            </w:tcBorders>
            <w:shd w:val="clear" w:color="auto" w:fill="auto"/>
            <w:noWrap/>
            <w:vAlign w:val="bottom"/>
            <w:hideMark/>
          </w:tcPr>
          <w:p w14:paraId="5F763F2E" w14:textId="4D422285" w:rsidR="00681013" w:rsidRPr="009109DE" w:rsidRDefault="00A706F5" w:rsidP="009109DE">
            <w:pPr>
              <w:jc w:val="center"/>
              <w:rPr>
                <w:sz w:val="16"/>
                <w:szCs w:val="16"/>
                <w:lang w:eastAsia="es-ES"/>
              </w:rPr>
            </w:pPr>
            <w:r>
              <w:rPr>
                <w:sz w:val="16"/>
                <w:szCs w:val="16"/>
                <w:lang w:eastAsia="es-ES"/>
              </w:rPr>
              <w:t>5</w:t>
            </w:r>
            <w:r w:rsidR="00681013" w:rsidRPr="009109DE">
              <w:rPr>
                <w:sz w:val="16"/>
                <w:szCs w:val="16"/>
                <w:lang w:eastAsia="es-ES"/>
              </w:rPr>
              <w:t>%</w:t>
            </w:r>
          </w:p>
        </w:tc>
      </w:tr>
      <w:tr w:rsidR="00681013" w:rsidRPr="009109DE" w14:paraId="47CE683A" w14:textId="77777777" w:rsidTr="009109DE">
        <w:trPr>
          <w:trHeight w:val="296"/>
        </w:trPr>
        <w:tc>
          <w:tcPr>
            <w:tcW w:w="3847" w:type="dxa"/>
            <w:gridSpan w:val="2"/>
            <w:tcBorders>
              <w:top w:val="nil"/>
              <w:left w:val="nil"/>
              <w:bottom w:val="nil"/>
              <w:right w:val="nil"/>
            </w:tcBorders>
            <w:shd w:val="clear" w:color="auto" w:fill="auto"/>
            <w:noWrap/>
            <w:vAlign w:val="bottom"/>
            <w:hideMark/>
          </w:tcPr>
          <w:p w14:paraId="23BC4ECA" w14:textId="77777777" w:rsidR="00681013" w:rsidRPr="009109DE" w:rsidRDefault="00681013" w:rsidP="00084399">
            <w:pPr>
              <w:rPr>
                <w:sz w:val="16"/>
                <w:szCs w:val="16"/>
                <w:lang w:eastAsia="es-ES"/>
              </w:rPr>
            </w:pPr>
            <w:r w:rsidRPr="009109DE">
              <w:rPr>
                <w:sz w:val="16"/>
                <w:szCs w:val="16"/>
                <w:lang w:eastAsia="es-ES"/>
              </w:rPr>
              <w:t>Inversiones Financieras a largo Plazo</w:t>
            </w:r>
          </w:p>
        </w:tc>
        <w:tc>
          <w:tcPr>
            <w:tcW w:w="1093" w:type="dxa"/>
            <w:tcBorders>
              <w:top w:val="nil"/>
              <w:left w:val="nil"/>
              <w:bottom w:val="nil"/>
              <w:right w:val="nil"/>
            </w:tcBorders>
            <w:shd w:val="clear" w:color="auto" w:fill="auto"/>
            <w:noWrap/>
            <w:vAlign w:val="bottom"/>
            <w:hideMark/>
          </w:tcPr>
          <w:p w14:paraId="0A276198" w14:textId="02F1971E" w:rsidR="00681013" w:rsidRPr="009109DE" w:rsidRDefault="00C7686A" w:rsidP="009109DE">
            <w:pPr>
              <w:jc w:val="center"/>
              <w:rPr>
                <w:sz w:val="16"/>
                <w:szCs w:val="16"/>
                <w:lang w:eastAsia="es-ES"/>
              </w:rPr>
            </w:pPr>
            <w:r>
              <w:rPr>
                <w:sz w:val="16"/>
                <w:szCs w:val="16"/>
                <w:lang w:eastAsia="es-ES"/>
              </w:rPr>
              <w:t>52.532</w:t>
            </w:r>
          </w:p>
        </w:tc>
        <w:tc>
          <w:tcPr>
            <w:tcW w:w="335" w:type="dxa"/>
            <w:tcBorders>
              <w:top w:val="nil"/>
              <w:left w:val="nil"/>
              <w:bottom w:val="nil"/>
              <w:right w:val="nil"/>
            </w:tcBorders>
            <w:shd w:val="clear" w:color="auto" w:fill="auto"/>
            <w:noWrap/>
            <w:vAlign w:val="bottom"/>
            <w:hideMark/>
          </w:tcPr>
          <w:p w14:paraId="23D7BF44"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auto" w:fill="auto"/>
            <w:noWrap/>
            <w:vAlign w:val="bottom"/>
            <w:hideMark/>
          </w:tcPr>
          <w:p w14:paraId="26D14C47" w14:textId="6001987D" w:rsidR="00681013" w:rsidRPr="009109DE" w:rsidRDefault="00C7686A" w:rsidP="009109DE">
            <w:pPr>
              <w:jc w:val="center"/>
              <w:rPr>
                <w:sz w:val="16"/>
                <w:szCs w:val="16"/>
                <w:lang w:eastAsia="es-ES"/>
              </w:rPr>
            </w:pPr>
            <w:r>
              <w:rPr>
                <w:sz w:val="16"/>
                <w:szCs w:val="16"/>
                <w:lang w:eastAsia="es-ES"/>
              </w:rPr>
              <w:t>47.162</w:t>
            </w:r>
          </w:p>
        </w:tc>
        <w:tc>
          <w:tcPr>
            <w:tcW w:w="154" w:type="dxa"/>
            <w:tcBorders>
              <w:top w:val="nil"/>
              <w:left w:val="nil"/>
              <w:bottom w:val="nil"/>
              <w:right w:val="nil"/>
            </w:tcBorders>
            <w:shd w:val="clear" w:color="auto" w:fill="auto"/>
            <w:noWrap/>
            <w:vAlign w:val="bottom"/>
            <w:hideMark/>
          </w:tcPr>
          <w:p w14:paraId="4667F897" w14:textId="77777777" w:rsidR="00681013" w:rsidRPr="009109DE" w:rsidRDefault="00681013" w:rsidP="009109DE">
            <w:pPr>
              <w:jc w:val="center"/>
              <w:rPr>
                <w:sz w:val="16"/>
                <w:szCs w:val="16"/>
                <w:lang w:eastAsia="es-ES"/>
              </w:rPr>
            </w:pPr>
          </w:p>
        </w:tc>
        <w:tc>
          <w:tcPr>
            <w:tcW w:w="1249" w:type="dxa"/>
            <w:tcBorders>
              <w:top w:val="nil"/>
              <w:left w:val="nil"/>
              <w:bottom w:val="nil"/>
              <w:right w:val="nil"/>
            </w:tcBorders>
            <w:shd w:val="clear" w:color="auto" w:fill="auto"/>
            <w:noWrap/>
            <w:vAlign w:val="bottom"/>
            <w:hideMark/>
          </w:tcPr>
          <w:p w14:paraId="1DB8868F" w14:textId="77777777" w:rsidR="00681013" w:rsidRPr="009109DE" w:rsidRDefault="00681013" w:rsidP="009109DE">
            <w:pPr>
              <w:jc w:val="center"/>
              <w:rPr>
                <w:sz w:val="16"/>
                <w:szCs w:val="16"/>
                <w:lang w:eastAsia="es-ES"/>
              </w:rPr>
            </w:pPr>
            <w:r w:rsidRPr="009109DE">
              <w:rPr>
                <w:sz w:val="16"/>
                <w:szCs w:val="16"/>
                <w:lang w:eastAsia="es-ES"/>
              </w:rPr>
              <w:t>-5.370</w:t>
            </w:r>
          </w:p>
        </w:tc>
        <w:tc>
          <w:tcPr>
            <w:tcW w:w="169" w:type="dxa"/>
            <w:tcBorders>
              <w:top w:val="nil"/>
              <w:left w:val="nil"/>
              <w:bottom w:val="nil"/>
              <w:right w:val="nil"/>
            </w:tcBorders>
            <w:shd w:val="clear" w:color="auto" w:fill="auto"/>
            <w:noWrap/>
            <w:vAlign w:val="bottom"/>
            <w:hideMark/>
          </w:tcPr>
          <w:p w14:paraId="4B0EDD49" w14:textId="77777777" w:rsidR="00681013" w:rsidRPr="009109DE" w:rsidRDefault="00681013" w:rsidP="009109DE">
            <w:pPr>
              <w:jc w:val="center"/>
              <w:rPr>
                <w:sz w:val="16"/>
                <w:szCs w:val="16"/>
                <w:lang w:eastAsia="es-ES"/>
              </w:rPr>
            </w:pPr>
          </w:p>
        </w:tc>
        <w:tc>
          <w:tcPr>
            <w:tcW w:w="847" w:type="dxa"/>
            <w:tcBorders>
              <w:top w:val="nil"/>
              <w:left w:val="nil"/>
              <w:bottom w:val="nil"/>
              <w:right w:val="nil"/>
            </w:tcBorders>
            <w:shd w:val="clear" w:color="auto" w:fill="auto"/>
            <w:noWrap/>
            <w:vAlign w:val="bottom"/>
            <w:hideMark/>
          </w:tcPr>
          <w:p w14:paraId="144C2259" w14:textId="2BE4D2F3" w:rsidR="00681013" w:rsidRPr="009109DE" w:rsidRDefault="00681013" w:rsidP="009109DE">
            <w:pPr>
              <w:jc w:val="center"/>
              <w:rPr>
                <w:sz w:val="16"/>
                <w:szCs w:val="16"/>
                <w:lang w:eastAsia="es-ES"/>
              </w:rPr>
            </w:pPr>
            <w:r w:rsidRPr="009109DE">
              <w:rPr>
                <w:sz w:val="16"/>
                <w:szCs w:val="16"/>
                <w:lang w:eastAsia="es-ES"/>
              </w:rPr>
              <w:t>-</w:t>
            </w:r>
            <w:r w:rsidR="00352029">
              <w:rPr>
                <w:sz w:val="16"/>
                <w:szCs w:val="16"/>
                <w:lang w:eastAsia="es-ES"/>
              </w:rPr>
              <w:t>10</w:t>
            </w:r>
            <w:r w:rsidRPr="009109DE">
              <w:rPr>
                <w:sz w:val="16"/>
                <w:szCs w:val="16"/>
                <w:lang w:eastAsia="es-ES"/>
              </w:rPr>
              <w:t>%</w:t>
            </w:r>
          </w:p>
        </w:tc>
      </w:tr>
      <w:tr w:rsidR="00681013" w:rsidRPr="009109DE" w14:paraId="2A1DC8F9" w14:textId="77777777" w:rsidTr="009109DE">
        <w:trPr>
          <w:trHeight w:val="296"/>
        </w:trPr>
        <w:tc>
          <w:tcPr>
            <w:tcW w:w="3847" w:type="dxa"/>
            <w:gridSpan w:val="2"/>
            <w:tcBorders>
              <w:top w:val="nil"/>
              <w:left w:val="nil"/>
              <w:bottom w:val="nil"/>
              <w:right w:val="nil"/>
            </w:tcBorders>
            <w:shd w:val="clear" w:color="000000" w:fill="F2F2F2"/>
            <w:noWrap/>
            <w:vAlign w:val="bottom"/>
            <w:hideMark/>
          </w:tcPr>
          <w:p w14:paraId="5481663D" w14:textId="77777777" w:rsidR="00681013" w:rsidRPr="009109DE" w:rsidRDefault="00681013" w:rsidP="00084399">
            <w:pPr>
              <w:rPr>
                <w:sz w:val="16"/>
                <w:szCs w:val="16"/>
                <w:lang w:eastAsia="es-ES"/>
              </w:rPr>
            </w:pPr>
            <w:r w:rsidRPr="009109DE">
              <w:rPr>
                <w:sz w:val="16"/>
                <w:szCs w:val="16"/>
                <w:lang w:eastAsia="es-ES"/>
              </w:rPr>
              <w:t>Activo no corriente</w:t>
            </w:r>
          </w:p>
        </w:tc>
        <w:tc>
          <w:tcPr>
            <w:tcW w:w="1093" w:type="dxa"/>
            <w:tcBorders>
              <w:top w:val="nil"/>
              <w:left w:val="nil"/>
              <w:bottom w:val="nil"/>
              <w:right w:val="nil"/>
            </w:tcBorders>
            <w:shd w:val="clear" w:color="000000" w:fill="F2F2F2"/>
            <w:noWrap/>
            <w:vAlign w:val="bottom"/>
            <w:hideMark/>
          </w:tcPr>
          <w:p w14:paraId="033C24F4" w14:textId="7D47835B" w:rsidR="00681013" w:rsidRPr="009109DE" w:rsidRDefault="00681013" w:rsidP="009109DE">
            <w:pPr>
              <w:jc w:val="center"/>
              <w:rPr>
                <w:sz w:val="16"/>
                <w:szCs w:val="16"/>
                <w:lang w:eastAsia="es-ES"/>
              </w:rPr>
            </w:pPr>
            <w:r w:rsidRPr="009109DE">
              <w:rPr>
                <w:sz w:val="16"/>
                <w:szCs w:val="16"/>
                <w:lang w:eastAsia="es-ES"/>
              </w:rPr>
              <w:t>3.</w:t>
            </w:r>
            <w:r w:rsidR="00C7686A">
              <w:rPr>
                <w:sz w:val="16"/>
                <w:szCs w:val="16"/>
                <w:lang w:eastAsia="es-ES"/>
              </w:rPr>
              <w:t>531.796</w:t>
            </w:r>
          </w:p>
        </w:tc>
        <w:tc>
          <w:tcPr>
            <w:tcW w:w="335" w:type="dxa"/>
            <w:tcBorders>
              <w:top w:val="nil"/>
              <w:left w:val="nil"/>
              <w:bottom w:val="nil"/>
              <w:right w:val="nil"/>
            </w:tcBorders>
            <w:shd w:val="clear" w:color="auto" w:fill="auto"/>
            <w:noWrap/>
            <w:vAlign w:val="bottom"/>
            <w:hideMark/>
          </w:tcPr>
          <w:p w14:paraId="3562629B"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000000" w:fill="F2F2F2"/>
            <w:noWrap/>
            <w:vAlign w:val="bottom"/>
            <w:hideMark/>
          </w:tcPr>
          <w:p w14:paraId="1A6DB678" w14:textId="308C495B" w:rsidR="00681013" w:rsidRPr="009109DE" w:rsidRDefault="00C7686A" w:rsidP="009109DE">
            <w:pPr>
              <w:jc w:val="center"/>
              <w:rPr>
                <w:sz w:val="16"/>
                <w:szCs w:val="16"/>
                <w:lang w:eastAsia="es-ES"/>
              </w:rPr>
            </w:pPr>
            <w:r>
              <w:rPr>
                <w:sz w:val="16"/>
                <w:szCs w:val="16"/>
                <w:lang w:eastAsia="es-ES"/>
              </w:rPr>
              <w:t>3.</w:t>
            </w:r>
            <w:r w:rsidR="00A706F5">
              <w:rPr>
                <w:sz w:val="16"/>
                <w:szCs w:val="16"/>
                <w:lang w:eastAsia="es-ES"/>
              </w:rPr>
              <w:t>6</w:t>
            </w:r>
            <w:r>
              <w:rPr>
                <w:sz w:val="16"/>
                <w:szCs w:val="16"/>
                <w:lang w:eastAsia="es-ES"/>
              </w:rPr>
              <w:t>72.700</w:t>
            </w:r>
          </w:p>
        </w:tc>
        <w:tc>
          <w:tcPr>
            <w:tcW w:w="154" w:type="dxa"/>
            <w:tcBorders>
              <w:top w:val="nil"/>
              <w:left w:val="nil"/>
              <w:bottom w:val="nil"/>
              <w:right w:val="nil"/>
            </w:tcBorders>
            <w:shd w:val="clear" w:color="auto" w:fill="auto"/>
            <w:noWrap/>
            <w:vAlign w:val="bottom"/>
            <w:hideMark/>
          </w:tcPr>
          <w:p w14:paraId="7DFDE21F" w14:textId="77777777" w:rsidR="00681013" w:rsidRPr="009109DE" w:rsidRDefault="00681013" w:rsidP="009109DE">
            <w:pPr>
              <w:jc w:val="center"/>
              <w:rPr>
                <w:sz w:val="16"/>
                <w:szCs w:val="16"/>
                <w:lang w:eastAsia="es-ES"/>
              </w:rPr>
            </w:pPr>
          </w:p>
        </w:tc>
        <w:tc>
          <w:tcPr>
            <w:tcW w:w="1249" w:type="dxa"/>
            <w:tcBorders>
              <w:top w:val="nil"/>
              <w:left w:val="nil"/>
              <w:bottom w:val="nil"/>
              <w:right w:val="nil"/>
            </w:tcBorders>
            <w:shd w:val="clear" w:color="000000" w:fill="F2F2F2"/>
            <w:noWrap/>
            <w:vAlign w:val="bottom"/>
            <w:hideMark/>
          </w:tcPr>
          <w:p w14:paraId="0FD8B8E0" w14:textId="04EB69B9" w:rsidR="00681013" w:rsidRPr="009109DE" w:rsidRDefault="00A706F5" w:rsidP="009109DE">
            <w:pPr>
              <w:jc w:val="center"/>
              <w:rPr>
                <w:sz w:val="16"/>
                <w:szCs w:val="16"/>
                <w:lang w:eastAsia="es-ES"/>
              </w:rPr>
            </w:pPr>
            <w:r>
              <w:rPr>
                <w:sz w:val="16"/>
                <w:szCs w:val="16"/>
                <w:lang w:eastAsia="es-ES"/>
              </w:rPr>
              <w:t>140.903</w:t>
            </w:r>
          </w:p>
        </w:tc>
        <w:tc>
          <w:tcPr>
            <w:tcW w:w="169" w:type="dxa"/>
            <w:tcBorders>
              <w:top w:val="nil"/>
              <w:left w:val="nil"/>
              <w:bottom w:val="nil"/>
              <w:right w:val="nil"/>
            </w:tcBorders>
            <w:shd w:val="clear" w:color="auto" w:fill="auto"/>
            <w:noWrap/>
            <w:vAlign w:val="bottom"/>
            <w:hideMark/>
          </w:tcPr>
          <w:p w14:paraId="0839155D" w14:textId="77777777" w:rsidR="00681013" w:rsidRPr="009109DE" w:rsidRDefault="00681013" w:rsidP="009109DE">
            <w:pPr>
              <w:jc w:val="center"/>
              <w:rPr>
                <w:sz w:val="16"/>
                <w:szCs w:val="16"/>
                <w:lang w:eastAsia="es-ES"/>
              </w:rPr>
            </w:pPr>
          </w:p>
        </w:tc>
        <w:tc>
          <w:tcPr>
            <w:tcW w:w="847" w:type="dxa"/>
            <w:tcBorders>
              <w:top w:val="nil"/>
              <w:left w:val="nil"/>
              <w:bottom w:val="nil"/>
              <w:right w:val="nil"/>
            </w:tcBorders>
            <w:shd w:val="clear" w:color="000000" w:fill="F2F2F2"/>
            <w:noWrap/>
            <w:vAlign w:val="bottom"/>
            <w:hideMark/>
          </w:tcPr>
          <w:p w14:paraId="10F535CE" w14:textId="04598FAF" w:rsidR="00681013" w:rsidRPr="009109DE" w:rsidRDefault="00A706F5" w:rsidP="009109DE">
            <w:pPr>
              <w:jc w:val="center"/>
              <w:rPr>
                <w:sz w:val="16"/>
                <w:szCs w:val="16"/>
                <w:lang w:eastAsia="es-ES"/>
              </w:rPr>
            </w:pPr>
            <w:r>
              <w:rPr>
                <w:sz w:val="16"/>
                <w:szCs w:val="16"/>
                <w:lang w:eastAsia="es-ES"/>
              </w:rPr>
              <w:t>4</w:t>
            </w:r>
            <w:r w:rsidR="00681013" w:rsidRPr="009109DE">
              <w:rPr>
                <w:sz w:val="16"/>
                <w:szCs w:val="16"/>
                <w:lang w:eastAsia="es-ES"/>
              </w:rPr>
              <w:t>%</w:t>
            </w:r>
          </w:p>
        </w:tc>
      </w:tr>
      <w:tr w:rsidR="00681013" w:rsidRPr="009109DE" w14:paraId="6CCA1A0C" w14:textId="77777777" w:rsidTr="009109DE">
        <w:trPr>
          <w:trHeight w:val="296"/>
        </w:trPr>
        <w:tc>
          <w:tcPr>
            <w:tcW w:w="1552" w:type="dxa"/>
            <w:tcBorders>
              <w:top w:val="nil"/>
              <w:left w:val="nil"/>
              <w:bottom w:val="nil"/>
              <w:right w:val="nil"/>
            </w:tcBorders>
            <w:shd w:val="clear" w:color="auto" w:fill="auto"/>
            <w:noWrap/>
            <w:vAlign w:val="bottom"/>
            <w:hideMark/>
          </w:tcPr>
          <w:p w14:paraId="53B3C795" w14:textId="77777777" w:rsidR="00681013" w:rsidRPr="009109DE" w:rsidRDefault="00681013" w:rsidP="00084399">
            <w:pPr>
              <w:rPr>
                <w:sz w:val="16"/>
                <w:szCs w:val="16"/>
                <w:lang w:eastAsia="es-ES"/>
              </w:rPr>
            </w:pPr>
            <w:r w:rsidRPr="009109DE">
              <w:rPr>
                <w:sz w:val="16"/>
                <w:szCs w:val="16"/>
                <w:lang w:eastAsia="es-ES"/>
              </w:rPr>
              <w:t xml:space="preserve">Deudores </w:t>
            </w:r>
          </w:p>
        </w:tc>
        <w:tc>
          <w:tcPr>
            <w:tcW w:w="2295" w:type="dxa"/>
            <w:tcBorders>
              <w:top w:val="nil"/>
              <w:left w:val="nil"/>
              <w:bottom w:val="nil"/>
              <w:right w:val="nil"/>
            </w:tcBorders>
            <w:shd w:val="clear" w:color="auto" w:fill="auto"/>
            <w:noWrap/>
            <w:vAlign w:val="bottom"/>
            <w:hideMark/>
          </w:tcPr>
          <w:p w14:paraId="32FC71C7" w14:textId="77777777" w:rsidR="00681013" w:rsidRPr="009109DE" w:rsidRDefault="00681013" w:rsidP="00084399">
            <w:pPr>
              <w:rPr>
                <w:sz w:val="16"/>
                <w:szCs w:val="16"/>
                <w:lang w:eastAsia="es-ES"/>
              </w:rPr>
            </w:pPr>
          </w:p>
        </w:tc>
        <w:tc>
          <w:tcPr>
            <w:tcW w:w="1093" w:type="dxa"/>
            <w:tcBorders>
              <w:top w:val="nil"/>
              <w:left w:val="nil"/>
              <w:bottom w:val="nil"/>
              <w:right w:val="nil"/>
            </w:tcBorders>
            <w:shd w:val="clear" w:color="auto" w:fill="auto"/>
            <w:noWrap/>
            <w:vAlign w:val="bottom"/>
            <w:hideMark/>
          </w:tcPr>
          <w:p w14:paraId="19A5A02F" w14:textId="28A1F6FC" w:rsidR="00681013" w:rsidRPr="009109DE" w:rsidRDefault="00C7686A" w:rsidP="009109DE">
            <w:pPr>
              <w:jc w:val="center"/>
              <w:rPr>
                <w:sz w:val="16"/>
                <w:szCs w:val="16"/>
                <w:lang w:eastAsia="es-ES"/>
              </w:rPr>
            </w:pPr>
            <w:r>
              <w:rPr>
                <w:sz w:val="16"/>
                <w:szCs w:val="16"/>
                <w:lang w:eastAsia="es-ES"/>
              </w:rPr>
              <w:t>433.056</w:t>
            </w:r>
          </w:p>
        </w:tc>
        <w:tc>
          <w:tcPr>
            <w:tcW w:w="335" w:type="dxa"/>
            <w:tcBorders>
              <w:top w:val="nil"/>
              <w:left w:val="nil"/>
              <w:bottom w:val="nil"/>
              <w:right w:val="nil"/>
            </w:tcBorders>
            <w:shd w:val="clear" w:color="auto" w:fill="auto"/>
            <w:noWrap/>
            <w:vAlign w:val="bottom"/>
            <w:hideMark/>
          </w:tcPr>
          <w:p w14:paraId="01FEEA18"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000000" w:fill="FFFFFF"/>
            <w:noWrap/>
            <w:vAlign w:val="bottom"/>
            <w:hideMark/>
          </w:tcPr>
          <w:p w14:paraId="2B6744FB" w14:textId="13988061" w:rsidR="00681013" w:rsidRPr="009109DE" w:rsidRDefault="00C7686A" w:rsidP="009109DE">
            <w:pPr>
              <w:jc w:val="center"/>
              <w:rPr>
                <w:sz w:val="16"/>
                <w:szCs w:val="16"/>
                <w:lang w:eastAsia="es-ES"/>
              </w:rPr>
            </w:pPr>
            <w:r>
              <w:rPr>
                <w:sz w:val="16"/>
                <w:szCs w:val="16"/>
                <w:lang w:eastAsia="es-ES"/>
              </w:rPr>
              <w:t>436.908</w:t>
            </w:r>
          </w:p>
        </w:tc>
        <w:tc>
          <w:tcPr>
            <w:tcW w:w="154" w:type="dxa"/>
            <w:tcBorders>
              <w:top w:val="nil"/>
              <w:left w:val="nil"/>
              <w:bottom w:val="nil"/>
              <w:right w:val="nil"/>
            </w:tcBorders>
            <w:shd w:val="clear" w:color="auto" w:fill="auto"/>
            <w:noWrap/>
            <w:vAlign w:val="bottom"/>
            <w:hideMark/>
          </w:tcPr>
          <w:p w14:paraId="33CE15BF" w14:textId="77777777" w:rsidR="00681013" w:rsidRPr="009109DE" w:rsidRDefault="00681013" w:rsidP="009109DE">
            <w:pPr>
              <w:jc w:val="center"/>
              <w:rPr>
                <w:sz w:val="16"/>
                <w:szCs w:val="16"/>
                <w:lang w:eastAsia="es-ES"/>
              </w:rPr>
            </w:pPr>
          </w:p>
        </w:tc>
        <w:tc>
          <w:tcPr>
            <w:tcW w:w="1249" w:type="dxa"/>
            <w:tcBorders>
              <w:top w:val="nil"/>
              <w:left w:val="nil"/>
              <w:bottom w:val="nil"/>
              <w:right w:val="nil"/>
            </w:tcBorders>
            <w:shd w:val="clear" w:color="auto" w:fill="auto"/>
            <w:noWrap/>
            <w:vAlign w:val="bottom"/>
            <w:hideMark/>
          </w:tcPr>
          <w:p w14:paraId="04251296" w14:textId="55C5B89B" w:rsidR="00681013" w:rsidRPr="009109DE" w:rsidRDefault="00C7686A" w:rsidP="009109DE">
            <w:pPr>
              <w:jc w:val="center"/>
              <w:rPr>
                <w:sz w:val="16"/>
                <w:szCs w:val="16"/>
                <w:lang w:eastAsia="es-ES"/>
              </w:rPr>
            </w:pPr>
            <w:r>
              <w:rPr>
                <w:sz w:val="16"/>
                <w:szCs w:val="16"/>
                <w:lang w:eastAsia="es-ES"/>
              </w:rPr>
              <w:t>3.852</w:t>
            </w:r>
          </w:p>
        </w:tc>
        <w:tc>
          <w:tcPr>
            <w:tcW w:w="169" w:type="dxa"/>
            <w:tcBorders>
              <w:top w:val="nil"/>
              <w:left w:val="nil"/>
              <w:bottom w:val="nil"/>
              <w:right w:val="nil"/>
            </w:tcBorders>
            <w:shd w:val="clear" w:color="auto" w:fill="auto"/>
            <w:noWrap/>
            <w:vAlign w:val="bottom"/>
            <w:hideMark/>
          </w:tcPr>
          <w:p w14:paraId="1D46C1F0" w14:textId="77777777" w:rsidR="00681013" w:rsidRPr="009109DE" w:rsidRDefault="00681013" w:rsidP="009109DE">
            <w:pPr>
              <w:jc w:val="center"/>
              <w:rPr>
                <w:sz w:val="16"/>
                <w:szCs w:val="16"/>
                <w:lang w:eastAsia="es-ES"/>
              </w:rPr>
            </w:pPr>
          </w:p>
        </w:tc>
        <w:tc>
          <w:tcPr>
            <w:tcW w:w="847" w:type="dxa"/>
            <w:tcBorders>
              <w:top w:val="nil"/>
              <w:left w:val="nil"/>
              <w:bottom w:val="nil"/>
              <w:right w:val="nil"/>
            </w:tcBorders>
            <w:shd w:val="clear" w:color="auto" w:fill="auto"/>
            <w:noWrap/>
            <w:vAlign w:val="bottom"/>
            <w:hideMark/>
          </w:tcPr>
          <w:p w14:paraId="3E8AC591" w14:textId="27F760A9" w:rsidR="00681013" w:rsidRPr="009109DE" w:rsidRDefault="00C7686A" w:rsidP="009109DE">
            <w:pPr>
              <w:jc w:val="center"/>
              <w:rPr>
                <w:sz w:val="16"/>
                <w:szCs w:val="16"/>
                <w:lang w:eastAsia="es-ES"/>
              </w:rPr>
            </w:pPr>
            <w:r>
              <w:rPr>
                <w:sz w:val="16"/>
                <w:szCs w:val="16"/>
                <w:lang w:eastAsia="es-ES"/>
              </w:rPr>
              <w:t>1</w:t>
            </w:r>
            <w:r w:rsidR="00681013" w:rsidRPr="009109DE">
              <w:rPr>
                <w:sz w:val="16"/>
                <w:szCs w:val="16"/>
                <w:lang w:eastAsia="es-ES"/>
              </w:rPr>
              <w:t>%</w:t>
            </w:r>
          </w:p>
        </w:tc>
      </w:tr>
      <w:tr w:rsidR="00681013" w:rsidRPr="009109DE" w14:paraId="53777E63" w14:textId="77777777" w:rsidTr="009109DE">
        <w:trPr>
          <w:trHeight w:val="296"/>
        </w:trPr>
        <w:tc>
          <w:tcPr>
            <w:tcW w:w="3847" w:type="dxa"/>
            <w:gridSpan w:val="2"/>
            <w:tcBorders>
              <w:top w:val="nil"/>
              <w:left w:val="nil"/>
              <w:bottom w:val="nil"/>
              <w:right w:val="nil"/>
            </w:tcBorders>
            <w:shd w:val="clear" w:color="auto" w:fill="auto"/>
            <w:noWrap/>
            <w:vAlign w:val="bottom"/>
            <w:hideMark/>
          </w:tcPr>
          <w:p w14:paraId="20563E6A" w14:textId="77777777" w:rsidR="00681013" w:rsidRPr="009109DE" w:rsidRDefault="00681013" w:rsidP="00084399">
            <w:pPr>
              <w:rPr>
                <w:sz w:val="16"/>
                <w:szCs w:val="16"/>
                <w:lang w:eastAsia="es-ES"/>
              </w:rPr>
            </w:pPr>
            <w:r w:rsidRPr="009109DE">
              <w:rPr>
                <w:sz w:val="16"/>
                <w:szCs w:val="16"/>
                <w:lang w:eastAsia="es-ES"/>
              </w:rPr>
              <w:t>Administraciones públicas</w:t>
            </w:r>
          </w:p>
        </w:tc>
        <w:tc>
          <w:tcPr>
            <w:tcW w:w="1093" w:type="dxa"/>
            <w:tcBorders>
              <w:top w:val="nil"/>
              <w:left w:val="nil"/>
              <w:bottom w:val="nil"/>
              <w:right w:val="nil"/>
            </w:tcBorders>
            <w:shd w:val="clear" w:color="auto" w:fill="auto"/>
            <w:noWrap/>
            <w:vAlign w:val="bottom"/>
            <w:hideMark/>
          </w:tcPr>
          <w:p w14:paraId="27A52C52" w14:textId="73D73EDB" w:rsidR="00681013" w:rsidRPr="009109DE" w:rsidRDefault="00C7686A" w:rsidP="009109DE">
            <w:pPr>
              <w:jc w:val="center"/>
              <w:rPr>
                <w:sz w:val="16"/>
                <w:szCs w:val="16"/>
                <w:lang w:eastAsia="es-ES"/>
              </w:rPr>
            </w:pPr>
            <w:r>
              <w:rPr>
                <w:sz w:val="16"/>
                <w:szCs w:val="16"/>
                <w:lang w:eastAsia="es-ES"/>
              </w:rPr>
              <w:t>991.486</w:t>
            </w:r>
          </w:p>
        </w:tc>
        <w:tc>
          <w:tcPr>
            <w:tcW w:w="335" w:type="dxa"/>
            <w:tcBorders>
              <w:top w:val="nil"/>
              <w:left w:val="nil"/>
              <w:bottom w:val="nil"/>
              <w:right w:val="nil"/>
            </w:tcBorders>
            <w:shd w:val="clear" w:color="auto" w:fill="auto"/>
            <w:noWrap/>
            <w:vAlign w:val="bottom"/>
            <w:hideMark/>
          </w:tcPr>
          <w:p w14:paraId="06A20808"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000000" w:fill="FFFFFF"/>
            <w:noWrap/>
            <w:vAlign w:val="bottom"/>
            <w:hideMark/>
          </w:tcPr>
          <w:p w14:paraId="111ABDE7" w14:textId="165C2613" w:rsidR="00681013" w:rsidRPr="009109DE" w:rsidRDefault="00C7686A" w:rsidP="009109DE">
            <w:pPr>
              <w:jc w:val="center"/>
              <w:rPr>
                <w:sz w:val="16"/>
                <w:szCs w:val="16"/>
                <w:lang w:eastAsia="es-ES"/>
              </w:rPr>
            </w:pPr>
            <w:r>
              <w:rPr>
                <w:sz w:val="16"/>
                <w:szCs w:val="16"/>
                <w:lang w:eastAsia="es-ES"/>
              </w:rPr>
              <w:t>1.</w:t>
            </w:r>
            <w:r w:rsidR="00A706F5">
              <w:rPr>
                <w:sz w:val="16"/>
                <w:szCs w:val="16"/>
                <w:lang w:eastAsia="es-ES"/>
              </w:rPr>
              <w:t>6</w:t>
            </w:r>
            <w:r>
              <w:rPr>
                <w:sz w:val="16"/>
                <w:szCs w:val="16"/>
                <w:lang w:eastAsia="es-ES"/>
              </w:rPr>
              <w:t>74.266</w:t>
            </w:r>
          </w:p>
        </w:tc>
        <w:tc>
          <w:tcPr>
            <w:tcW w:w="154" w:type="dxa"/>
            <w:tcBorders>
              <w:top w:val="nil"/>
              <w:left w:val="nil"/>
              <w:bottom w:val="nil"/>
              <w:right w:val="nil"/>
            </w:tcBorders>
            <w:shd w:val="clear" w:color="auto" w:fill="auto"/>
            <w:noWrap/>
            <w:vAlign w:val="bottom"/>
            <w:hideMark/>
          </w:tcPr>
          <w:p w14:paraId="49F3F3BA" w14:textId="77777777" w:rsidR="00681013" w:rsidRPr="009109DE" w:rsidRDefault="00681013" w:rsidP="009109DE">
            <w:pPr>
              <w:jc w:val="center"/>
              <w:rPr>
                <w:sz w:val="16"/>
                <w:szCs w:val="16"/>
                <w:lang w:eastAsia="es-ES"/>
              </w:rPr>
            </w:pPr>
          </w:p>
        </w:tc>
        <w:tc>
          <w:tcPr>
            <w:tcW w:w="1249" w:type="dxa"/>
            <w:tcBorders>
              <w:top w:val="nil"/>
              <w:left w:val="nil"/>
              <w:bottom w:val="nil"/>
              <w:right w:val="nil"/>
            </w:tcBorders>
            <w:shd w:val="clear" w:color="auto" w:fill="auto"/>
            <w:noWrap/>
            <w:vAlign w:val="bottom"/>
            <w:hideMark/>
          </w:tcPr>
          <w:p w14:paraId="2ED9F1E0" w14:textId="4D0EF512" w:rsidR="00681013" w:rsidRPr="009109DE" w:rsidRDefault="00A706F5" w:rsidP="009109DE">
            <w:pPr>
              <w:jc w:val="center"/>
              <w:rPr>
                <w:sz w:val="16"/>
                <w:szCs w:val="16"/>
                <w:lang w:eastAsia="es-ES"/>
              </w:rPr>
            </w:pPr>
            <w:r>
              <w:rPr>
                <w:sz w:val="16"/>
                <w:szCs w:val="16"/>
                <w:lang w:eastAsia="es-ES"/>
              </w:rPr>
              <w:t>6</w:t>
            </w:r>
            <w:r w:rsidR="00C7686A">
              <w:rPr>
                <w:sz w:val="16"/>
                <w:szCs w:val="16"/>
                <w:lang w:eastAsia="es-ES"/>
              </w:rPr>
              <w:t>82.780</w:t>
            </w:r>
          </w:p>
        </w:tc>
        <w:tc>
          <w:tcPr>
            <w:tcW w:w="169" w:type="dxa"/>
            <w:tcBorders>
              <w:top w:val="nil"/>
              <w:left w:val="nil"/>
              <w:bottom w:val="nil"/>
              <w:right w:val="nil"/>
            </w:tcBorders>
            <w:shd w:val="clear" w:color="auto" w:fill="auto"/>
            <w:noWrap/>
            <w:vAlign w:val="bottom"/>
            <w:hideMark/>
          </w:tcPr>
          <w:p w14:paraId="7A20E6E7" w14:textId="77777777" w:rsidR="00681013" w:rsidRPr="009109DE" w:rsidRDefault="00681013" w:rsidP="009109DE">
            <w:pPr>
              <w:jc w:val="center"/>
              <w:rPr>
                <w:sz w:val="16"/>
                <w:szCs w:val="16"/>
                <w:lang w:eastAsia="es-ES"/>
              </w:rPr>
            </w:pPr>
          </w:p>
        </w:tc>
        <w:tc>
          <w:tcPr>
            <w:tcW w:w="847" w:type="dxa"/>
            <w:tcBorders>
              <w:top w:val="nil"/>
              <w:left w:val="nil"/>
              <w:bottom w:val="nil"/>
              <w:right w:val="nil"/>
            </w:tcBorders>
            <w:shd w:val="clear" w:color="auto" w:fill="auto"/>
            <w:noWrap/>
            <w:vAlign w:val="bottom"/>
            <w:hideMark/>
          </w:tcPr>
          <w:p w14:paraId="5B472586" w14:textId="78762DB4" w:rsidR="00681013" w:rsidRPr="009109DE" w:rsidRDefault="00A706F5" w:rsidP="009109DE">
            <w:pPr>
              <w:jc w:val="center"/>
              <w:rPr>
                <w:sz w:val="16"/>
                <w:szCs w:val="16"/>
                <w:lang w:eastAsia="es-ES"/>
              </w:rPr>
            </w:pPr>
            <w:r>
              <w:rPr>
                <w:sz w:val="16"/>
                <w:szCs w:val="16"/>
                <w:lang w:eastAsia="es-ES"/>
              </w:rPr>
              <w:t>6</w:t>
            </w:r>
            <w:r w:rsidR="00C7686A">
              <w:rPr>
                <w:sz w:val="16"/>
                <w:szCs w:val="16"/>
                <w:lang w:eastAsia="es-ES"/>
              </w:rPr>
              <w:t>9</w:t>
            </w:r>
            <w:r w:rsidR="00681013" w:rsidRPr="009109DE">
              <w:rPr>
                <w:sz w:val="16"/>
                <w:szCs w:val="16"/>
                <w:lang w:eastAsia="es-ES"/>
              </w:rPr>
              <w:t>%</w:t>
            </w:r>
          </w:p>
        </w:tc>
      </w:tr>
      <w:tr w:rsidR="00681013" w:rsidRPr="009109DE" w14:paraId="6B661AAE" w14:textId="77777777" w:rsidTr="009109DE">
        <w:trPr>
          <w:trHeight w:val="296"/>
        </w:trPr>
        <w:tc>
          <w:tcPr>
            <w:tcW w:w="3847" w:type="dxa"/>
            <w:gridSpan w:val="2"/>
            <w:tcBorders>
              <w:top w:val="nil"/>
              <w:left w:val="nil"/>
              <w:bottom w:val="nil"/>
              <w:right w:val="nil"/>
            </w:tcBorders>
            <w:shd w:val="clear" w:color="auto" w:fill="auto"/>
            <w:noWrap/>
            <w:vAlign w:val="bottom"/>
            <w:hideMark/>
          </w:tcPr>
          <w:p w14:paraId="2A388DB5" w14:textId="77777777" w:rsidR="00681013" w:rsidRPr="009109DE" w:rsidRDefault="00681013" w:rsidP="00084399">
            <w:pPr>
              <w:rPr>
                <w:sz w:val="16"/>
                <w:szCs w:val="16"/>
                <w:lang w:eastAsia="es-ES"/>
              </w:rPr>
            </w:pPr>
            <w:r w:rsidRPr="009109DE">
              <w:rPr>
                <w:sz w:val="16"/>
                <w:szCs w:val="16"/>
                <w:lang w:eastAsia="es-ES"/>
              </w:rPr>
              <w:t>Efectivo y otros activos liquidos</w:t>
            </w:r>
          </w:p>
        </w:tc>
        <w:tc>
          <w:tcPr>
            <w:tcW w:w="1093" w:type="dxa"/>
            <w:tcBorders>
              <w:top w:val="nil"/>
              <w:left w:val="nil"/>
              <w:bottom w:val="nil"/>
              <w:right w:val="nil"/>
            </w:tcBorders>
            <w:shd w:val="clear" w:color="auto" w:fill="auto"/>
            <w:noWrap/>
            <w:vAlign w:val="bottom"/>
            <w:hideMark/>
          </w:tcPr>
          <w:p w14:paraId="56A12840" w14:textId="2CA37892" w:rsidR="00681013" w:rsidRPr="009109DE" w:rsidRDefault="00C7686A" w:rsidP="009109DE">
            <w:pPr>
              <w:jc w:val="center"/>
              <w:rPr>
                <w:sz w:val="16"/>
                <w:szCs w:val="16"/>
                <w:lang w:eastAsia="es-ES"/>
              </w:rPr>
            </w:pPr>
            <w:r>
              <w:rPr>
                <w:sz w:val="16"/>
                <w:szCs w:val="16"/>
                <w:lang w:eastAsia="es-ES"/>
              </w:rPr>
              <w:t>6.460.722</w:t>
            </w:r>
          </w:p>
        </w:tc>
        <w:tc>
          <w:tcPr>
            <w:tcW w:w="335" w:type="dxa"/>
            <w:tcBorders>
              <w:top w:val="nil"/>
              <w:left w:val="nil"/>
              <w:bottom w:val="nil"/>
              <w:right w:val="nil"/>
            </w:tcBorders>
            <w:shd w:val="clear" w:color="auto" w:fill="auto"/>
            <w:noWrap/>
            <w:vAlign w:val="bottom"/>
            <w:hideMark/>
          </w:tcPr>
          <w:p w14:paraId="7F9214BC"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000000" w:fill="FFFFFF"/>
            <w:noWrap/>
            <w:vAlign w:val="bottom"/>
            <w:hideMark/>
          </w:tcPr>
          <w:p w14:paraId="2232694F" w14:textId="661F8518" w:rsidR="00681013" w:rsidRPr="009109DE" w:rsidRDefault="00A706F5" w:rsidP="009109DE">
            <w:pPr>
              <w:jc w:val="center"/>
              <w:rPr>
                <w:sz w:val="16"/>
                <w:szCs w:val="16"/>
                <w:lang w:eastAsia="es-ES"/>
              </w:rPr>
            </w:pPr>
            <w:r>
              <w:rPr>
                <w:sz w:val="16"/>
                <w:szCs w:val="16"/>
                <w:lang w:eastAsia="es-ES"/>
              </w:rPr>
              <w:t>3.885.536</w:t>
            </w:r>
          </w:p>
        </w:tc>
        <w:tc>
          <w:tcPr>
            <w:tcW w:w="154" w:type="dxa"/>
            <w:tcBorders>
              <w:top w:val="nil"/>
              <w:left w:val="nil"/>
              <w:bottom w:val="nil"/>
              <w:right w:val="nil"/>
            </w:tcBorders>
            <w:shd w:val="clear" w:color="auto" w:fill="auto"/>
            <w:noWrap/>
            <w:vAlign w:val="bottom"/>
            <w:hideMark/>
          </w:tcPr>
          <w:p w14:paraId="02FEBCAB" w14:textId="77777777" w:rsidR="00681013" w:rsidRPr="009109DE" w:rsidRDefault="00681013" w:rsidP="009109DE">
            <w:pPr>
              <w:jc w:val="center"/>
              <w:rPr>
                <w:sz w:val="16"/>
                <w:szCs w:val="16"/>
                <w:lang w:eastAsia="es-ES"/>
              </w:rPr>
            </w:pPr>
          </w:p>
        </w:tc>
        <w:tc>
          <w:tcPr>
            <w:tcW w:w="1249" w:type="dxa"/>
            <w:tcBorders>
              <w:top w:val="nil"/>
              <w:left w:val="nil"/>
              <w:bottom w:val="nil"/>
              <w:right w:val="nil"/>
            </w:tcBorders>
            <w:shd w:val="clear" w:color="auto" w:fill="auto"/>
            <w:noWrap/>
            <w:vAlign w:val="bottom"/>
            <w:hideMark/>
          </w:tcPr>
          <w:p w14:paraId="01988BBF" w14:textId="00437CB0" w:rsidR="00681013" w:rsidRPr="009109DE" w:rsidRDefault="00C7686A" w:rsidP="009109DE">
            <w:pPr>
              <w:jc w:val="center"/>
              <w:rPr>
                <w:sz w:val="16"/>
                <w:szCs w:val="16"/>
                <w:lang w:eastAsia="es-ES"/>
              </w:rPr>
            </w:pPr>
            <w:r>
              <w:rPr>
                <w:sz w:val="16"/>
                <w:szCs w:val="16"/>
                <w:lang w:eastAsia="es-ES"/>
              </w:rPr>
              <w:t>-</w:t>
            </w:r>
            <w:r w:rsidR="00A706F5">
              <w:rPr>
                <w:sz w:val="16"/>
                <w:szCs w:val="16"/>
                <w:lang w:eastAsia="es-ES"/>
              </w:rPr>
              <w:t>2.575.186</w:t>
            </w:r>
          </w:p>
        </w:tc>
        <w:tc>
          <w:tcPr>
            <w:tcW w:w="169" w:type="dxa"/>
            <w:tcBorders>
              <w:top w:val="nil"/>
              <w:left w:val="nil"/>
              <w:bottom w:val="nil"/>
              <w:right w:val="nil"/>
            </w:tcBorders>
            <w:shd w:val="clear" w:color="auto" w:fill="auto"/>
            <w:noWrap/>
            <w:vAlign w:val="bottom"/>
            <w:hideMark/>
          </w:tcPr>
          <w:p w14:paraId="5435C487" w14:textId="77777777" w:rsidR="00681013" w:rsidRPr="009109DE" w:rsidRDefault="00681013" w:rsidP="009109DE">
            <w:pPr>
              <w:jc w:val="center"/>
              <w:rPr>
                <w:sz w:val="16"/>
                <w:szCs w:val="16"/>
                <w:lang w:eastAsia="es-ES"/>
              </w:rPr>
            </w:pPr>
          </w:p>
        </w:tc>
        <w:tc>
          <w:tcPr>
            <w:tcW w:w="847" w:type="dxa"/>
            <w:tcBorders>
              <w:top w:val="nil"/>
              <w:left w:val="nil"/>
              <w:bottom w:val="nil"/>
              <w:right w:val="nil"/>
            </w:tcBorders>
            <w:shd w:val="clear" w:color="auto" w:fill="auto"/>
            <w:noWrap/>
            <w:vAlign w:val="bottom"/>
            <w:hideMark/>
          </w:tcPr>
          <w:p w14:paraId="2DC14AFA" w14:textId="2522F837" w:rsidR="00681013" w:rsidRPr="009109DE" w:rsidRDefault="00A706F5" w:rsidP="009109DE">
            <w:pPr>
              <w:jc w:val="center"/>
              <w:rPr>
                <w:sz w:val="16"/>
                <w:szCs w:val="16"/>
                <w:lang w:eastAsia="es-ES"/>
              </w:rPr>
            </w:pPr>
            <w:r>
              <w:rPr>
                <w:sz w:val="16"/>
                <w:szCs w:val="16"/>
                <w:lang w:eastAsia="es-ES"/>
              </w:rPr>
              <w:t>-40</w:t>
            </w:r>
            <w:r w:rsidR="00681013" w:rsidRPr="009109DE">
              <w:rPr>
                <w:sz w:val="16"/>
                <w:szCs w:val="16"/>
                <w:lang w:eastAsia="es-ES"/>
              </w:rPr>
              <w:t>%</w:t>
            </w:r>
          </w:p>
        </w:tc>
      </w:tr>
      <w:tr w:rsidR="00681013" w:rsidRPr="009109DE" w14:paraId="1BED2759" w14:textId="77777777" w:rsidTr="009109DE">
        <w:trPr>
          <w:trHeight w:val="296"/>
        </w:trPr>
        <w:tc>
          <w:tcPr>
            <w:tcW w:w="3847" w:type="dxa"/>
            <w:gridSpan w:val="2"/>
            <w:tcBorders>
              <w:top w:val="nil"/>
              <w:left w:val="nil"/>
              <w:bottom w:val="nil"/>
              <w:right w:val="nil"/>
            </w:tcBorders>
            <w:shd w:val="clear" w:color="000000" w:fill="F2F2F2"/>
            <w:noWrap/>
            <w:vAlign w:val="bottom"/>
            <w:hideMark/>
          </w:tcPr>
          <w:p w14:paraId="471A7873" w14:textId="77777777" w:rsidR="00681013" w:rsidRPr="009109DE" w:rsidRDefault="00681013" w:rsidP="00084399">
            <w:pPr>
              <w:rPr>
                <w:sz w:val="16"/>
                <w:szCs w:val="16"/>
                <w:lang w:eastAsia="es-ES"/>
              </w:rPr>
            </w:pPr>
            <w:r w:rsidRPr="009109DE">
              <w:rPr>
                <w:sz w:val="16"/>
                <w:szCs w:val="16"/>
                <w:lang w:eastAsia="es-ES"/>
              </w:rPr>
              <w:t>Activo Corriente</w:t>
            </w:r>
          </w:p>
        </w:tc>
        <w:tc>
          <w:tcPr>
            <w:tcW w:w="1093" w:type="dxa"/>
            <w:tcBorders>
              <w:top w:val="nil"/>
              <w:left w:val="nil"/>
              <w:bottom w:val="nil"/>
              <w:right w:val="nil"/>
            </w:tcBorders>
            <w:shd w:val="clear" w:color="000000" w:fill="F2F2F2"/>
            <w:noWrap/>
            <w:vAlign w:val="bottom"/>
            <w:hideMark/>
          </w:tcPr>
          <w:p w14:paraId="5D8BBBB4" w14:textId="0B04E37A" w:rsidR="00681013" w:rsidRPr="009109DE" w:rsidRDefault="00C7686A" w:rsidP="009109DE">
            <w:pPr>
              <w:jc w:val="center"/>
              <w:rPr>
                <w:sz w:val="16"/>
                <w:szCs w:val="16"/>
                <w:lang w:eastAsia="es-ES"/>
              </w:rPr>
            </w:pPr>
            <w:r>
              <w:rPr>
                <w:sz w:val="16"/>
                <w:szCs w:val="16"/>
                <w:lang w:eastAsia="es-ES"/>
              </w:rPr>
              <w:t>7.885.264</w:t>
            </w:r>
          </w:p>
        </w:tc>
        <w:tc>
          <w:tcPr>
            <w:tcW w:w="335" w:type="dxa"/>
            <w:tcBorders>
              <w:top w:val="nil"/>
              <w:left w:val="nil"/>
              <w:bottom w:val="nil"/>
              <w:right w:val="nil"/>
            </w:tcBorders>
            <w:shd w:val="clear" w:color="auto" w:fill="auto"/>
            <w:noWrap/>
            <w:vAlign w:val="bottom"/>
            <w:hideMark/>
          </w:tcPr>
          <w:p w14:paraId="54ACBFC2"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000000" w:fill="F2F2F2"/>
            <w:noWrap/>
            <w:vAlign w:val="bottom"/>
            <w:hideMark/>
          </w:tcPr>
          <w:p w14:paraId="02454761" w14:textId="066EF525" w:rsidR="00681013" w:rsidRPr="009109DE" w:rsidRDefault="00A706F5" w:rsidP="009109DE">
            <w:pPr>
              <w:jc w:val="center"/>
              <w:rPr>
                <w:sz w:val="16"/>
                <w:szCs w:val="16"/>
                <w:lang w:eastAsia="es-ES"/>
              </w:rPr>
            </w:pPr>
            <w:r>
              <w:rPr>
                <w:sz w:val="16"/>
                <w:szCs w:val="16"/>
                <w:lang w:eastAsia="es-ES"/>
              </w:rPr>
              <w:t>5</w:t>
            </w:r>
            <w:r w:rsidR="00C7686A">
              <w:rPr>
                <w:sz w:val="16"/>
                <w:szCs w:val="16"/>
                <w:lang w:eastAsia="es-ES"/>
              </w:rPr>
              <w:t>.</w:t>
            </w:r>
            <w:r>
              <w:rPr>
                <w:sz w:val="16"/>
                <w:szCs w:val="16"/>
                <w:lang w:eastAsia="es-ES"/>
              </w:rPr>
              <w:t>996</w:t>
            </w:r>
            <w:r w:rsidR="00C7686A">
              <w:rPr>
                <w:sz w:val="16"/>
                <w:szCs w:val="16"/>
                <w:lang w:eastAsia="es-ES"/>
              </w:rPr>
              <w:t>.7</w:t>
            </w:r>
            <w:r>
              <w:rPr>
                <w:sz w:val="16"/>
                <w:szCs w:val="16"/>
                <w:lang w:eastAsia="es-ES"/>
              </w:rPr>
              <w:t>1</w:t>
            </w:r>
            <w:r w:rsidR="00C7686A">
              <w:rPr>
                <w:sz w:val="16"/>
                <w:szCs w:val="16"/>
                <w:lang w:eastAsia="es-ES"/>
              </w:rPr>
              <w:t>0</w:t>
            </w:r>
          </w:p>
        </w:tc>
        <w:tc>
          <w:tcPr>
            <w:tcW w:w="154" w:type="dxa"/>
            <w:tcBorders>
              <w:top w:val="nil"/>
              <w:left w:val="nil"/>
              <w:bottom w:val="nil"/>
              <w:right w:val="nil"/>
            </w:tcBorders>
            <w:shd w:val="clear" w:color="auto" w:fill="auto"/>
            <w:noWrap/>
            <w:vAlign w:val="bottom"/>
            <w:hideMark/>
          </w:tcPr>
          <w:p w14:paraId="36CFF5CF" w14:textId="77777777" w:rsidR="00681013" w:rsidRPr="009109DE" w:rsidRDefault="00681013" w:rsidP="009109DE">
            <w:pPr>
              <w:jc w:val="center"/>
              <w:rPr>
                <w:sz w:val="16"/>
                <w:szCs w:val="16"/>
                <w:lang w:eastAsia="es-ES"/>
              </w:rPr>
            </w:pPr>
          </w:p>
        </w:tc>
        <w:tc>
          <w:tcPr>
            <w:tcW w:w="1249" w:type="dxa"/>
            <w:tcBorders>
              <w:top w:val="nil"/>
              <w:left w:val="nil"/>
              <w:bottom w:val="nil"/>
              <w:right w:val="nil"/>
            </w:tcBorders>
            <w:shd w:val="clear" w:color="000000" w:fill="F2F2F2"/>
            <w:noWrap/>
            <w:vAlign w:val="bottom"/>
            <w:hideMark/>
          </w:tcPr>
          <w:p w14:paraId="6315C810" w14:textId="1A9AB90E" w:rsidR="00681013" w:rsidRPr="009109DE" w:rsidRDefault="00681013" w:rsidP="009109DE">
            <w:pPr>
              <w:jc w:val="center"/>
              <w:rPr>
                <w:sz w:val="16"/>
                <w:szCs w:val="16"/>
                <w:lang w:eastAsia="es-ES"/>
              </w:rPr>
            </w:pPr>
            <w:r w:rsidRPr="009109DE">
              <w:rPr>
                <w:sz w:val="16"/>
                <w:szCs w:val="16"/>
                <w:lang w:eastAsia="es-ES"/>
              </w:rPr>
              <w:t>-</w:t>
            </w:r>
            <w:r w:rsidR="00C7686A">
              <w:rPr>
                <w:sz w:val="16"/>
                <w:szCs w:val="16"/>
                <w:lang w:eastAsia="es-ES"/>
              </w:rPr>
              <w:t>1.</w:t>
            </w:r>
            <w:r w:rsidR="00A706F5">
              <w:rPr>
                <w:sz w:val="16"/>
                <w:szCs w:val="16"/>
                <w:lang w:eastAsia="es-ES"/>
              </w:rPr>
              <w:t>888</w:t>
            </w:r>
            <w:r w:rsidR="00C7686A">
              <w:rPr>
                <w:sz w:val="16"/>
                <w:szCs w:val="16"/>
                <w:lang w:eastAsia="es-ES"/>
              </w:rPr>
              <w:t>.5</w:t>
            </w:r>
            <w:r w:rsidR="00A706F5">
              <w:rPr>
                <w:sz w:val="16"/>
                <w:szCs w:val="16"/>
                <w:lang w:eastAsia="es-ES"/>
              </w:rPr>
              <w:t>5</w:t>
            </w:r>
            <w:r w:rsidR="00C7686A">
              <w:rPr>
                <w:sz w:val="16"/>
                <w:szCs w:val="16"/>
                <w:lang w:eastAsia="es-ES"/>
              </w:rPr>
              <w:t>4</w:t>
            </w:r>
          </w:p>
        </w:tc>
        <w:tc>
          <w:tcPr>
            <w:tcW w:w="169" w:type="dxa"/>
            <w:tcBorders>
              <w:top w:val="nil"/>
              <w:left w:val="nil"/>
              <w:bottom w:val="nil"/>
              <w:right w:val="nil"/>
            </w:tcBorders>
            <w:shd w:val="clear" w:color="auto" w:fill="auto"/>
            <w:noWrap/>
            <w:vAlign w:val="bottom"/>
            <w:hideMark/>
          </w:tcPr>
          <w:p w14:paraId="55A8F1B1" w14:textId="77777777" w:rsidR="00681013" w:rsidRPr="009109DE" w:rsidRDefault="00681013" w:rsidP="009109DE">
            <w:pPr>
              <w:jc w:val="center"/>
              <w:rPr>
                <w:sz w:val="16"/>
                <w:szCs w:val="16"/>
                <w:lang w:eastAsia="es-ES"/>
              </w:rPr>
            </w:pPr>
          </w:p>
        </w:tc>
        <w:tc>
          <w:tcPr>
            <w:tcW w:w="847" w:type="dxa"/>
            <w:tcBorders>
              <w:top w:val="nil"/>
              <w:left w:val="nil"/>
              <w:bottom w:val="nil"/>
              <w:right w:val="nil"/>
            </w:tcBorders>
            <w:shd w:val="clear" w:color="000000" w:fill="F2F2F2"/>
            <w:noWrap/>
            <w:vAlign w:val="bottom"/>
            <w:hideMark/>
          </w:tcPr>
          <w:p w14:paraId="4D4CF202" w14:textId="508FAD3F" w:rsidR="00681013" w:rsidRPr="009109DE" w:rsidRDefault="00681013" w:rsidP="009109DE">
            <w:pPr>
              <w:jc w:val="center"/>
              <w:rPr>
                <w:sz w:val="16"/>
                <w:szCs w:val="16"/>
                <w:lang w:eastAsia="es-ES"/>
              </w:rPr>
            </w:pPr>
            <w:r w:rsidRPr="009109DE">
              <w:rPr>
                <w:sz w:val="16"/>
                <w:szCs w:val="16"/>
                <w:lang w:eastAsia="es-ES"/>
              </w:rPr>
              <w:t>-</w:t>
            </w:r>
            <w:r w:rsidR="00A706F5">
              <w:rPr>
                <w:sz w:val="16"/>
                <w:szCs w:val="16"/>
                <w:lang w:eastAsia="es-ES"/>
              </w:rPr>
              <w:t>24</w:t>
            </w:r>
            <w:r w:rsidRPr="009109DE">
              <w:rPr>
                <w:sz w:val="16"/>
                <w:szCs w:val="16"/>
                <w:lang w:eastAsia="es-ES"/>
              </w:rPr>
              <w:t>%</w:t>
            </w:r>
          </w:p>
        </w:tc>
      </w:tr>
      <w:tr w:rsidR="00681013" w:rsidRPr="009109DE" w14:paraId="70351B28" w14:textId="77777777" w:rsidTr="009109DE">
        <w:trPr>
          <w:trHeight w:val="296"/>
        </w:trPr>
        <w:tc>
          <w:tcPr>
            <w:tcW w:w="1552" w:type="dxa"/>
            <w:tcBorders>
              <w:top w:val="nil"/>
              <w:left w:val="nil"/>
              <w:bottom w:val="nil"/>
              <w:right w:val="nil"/>
            </w:tcBorders>
            <w:shd w:val="clear" w:color="auto" w:fill="auto"/>
            <w:noWrap/>
            <w:vAlign w:val="bottom"/>
            <w:hideMark/>
          </w:tcPr>
          <w:p w14:paraId="740B3508" w14:textId="77777777" w:rsidR="00681013" w:rsidRPr="009109DE" w:rsidRDefault="00681013" w:rsidP="00084399">
            <w:pPr>
              <w:rPr>
                <w:sz w:val="16"/>
                <w:szCs w:val="16"/>
                <w:lang w:eastAsia="es-ES"/>
              </w:rPr>
            </w:pPr>
          </w:p>
        </w:tc>
        <w:tc>
          <w:tcPr>
            <w:tcW w:w="2295" w:type="dxa"/>
            <w:tcBorders>
              <w:top w:val="nil"/>
              <w:left w:val="nil"/>
              <w:bottom w:val="nil"/>
              <w:right w:val="nil"/>
            </w:tcBorders>
            <w:shd w:val="clear" w:color="auto" w:fill="auto"/>
            <w:noWrap/>
            <w:vAlign w:val="bottom"/>
            <w:hideMark/>
          </w:tcPr>
          <w:p w14:paraId="6CFE5A7B" w14:textId="77777777" w:rsidR="00681013" w:rsidRPr="009109DE" w:rsidRDefault="00681013" w:rsidP="00084399">
            <w:pPr>
              <w:rPr>
                <w:sz w:val="16"/>
                <w:szCs w:val="16"/>
                <w:lang w:eastAsia="es-ES"/>
              </w:rPr>
            </w:pPr>
          </w:p>
        </w:tc>
        <w:tc>
          <w:tcPr>
            <w:tcW w:w="1093" w:type="dxa"/>
            <w:tcBorders>
              <w:top w:val="nil"/>
              <w:left w:val="nil"/>
              <w:bottom w:val="nil"/>
              <w:right w:val="nil"/>
            </w:tcBorders>
            <w:shd w:val="clear" w:color="auto" w:fill="auto"/>
            <w:noWrap/>
            <w:vAlign w:val="bottom"/>
            <w:hideMark/>
          </w:tcPr>
          <w:p w14:paraId="74E21425" w14:textId="77777777" w:rsidR="00681013" w:rsidRPr="009109DE" w:rsidRDefault="00681013" w:rsidP="009109DE">
            <w:pPr>
              <w:jc w:val="center"/>
              <w:rPr>
                <w:sz w:val="16"/>
                <w:szCs w:val="16"/>
                <w:lang w:eastAsia="es-ES"/>
              </w:rPr>
            </w:pPr>
          </w:p>
        </w:tc>
        <w:tc>
          <w:tcPr>
            <w:tcW w:w="335" w:type="dxa"/>
            <w:tcBorders>
              <w:top w:val="nil"/>
              <w:left w:val="nil"/>
              <w:bottom w:val="nil"/>
              <w:right w:val="nil"/>
            </w:tcBorders>
            <w:shd w:val="clear" w:color="auto" w:fill="auto"/>
            <w:noWrap/>
            <w:vAlign w:val="bottom"/>
            <w:hideMark/>
          </w:tcPr>
          <w:p w14:paraId="202BCC33"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auto" w:fill="auto"/>
            <w:noWrap/>
            <w:vAlign w:val="bottom"/>
            <w:hideMark/>
          </w:tcPr>
          <w:p w14:paraId="4B4584A3" w14:textId="77777777" w:rsidR="00681013" w:rsidRPr="009109DE" w:rsidRDefault="00681013" w:rsidP="009109DE">
            <w:pPr>
              <w:jc w:val="center"/>
              <w:rPr>
                <w:sz w:val="16"/>
                <w:szCs w:val="16"/>
                <w:lang w:eastAsia="es-ES"/>
              </w:rPr>
            </w:pPr>
          </w:p>
        </w:tc>
        <w:tc>
          <w:tcPr>
            <w:tcW w:w="154" w:type="dxa"/>
            <w:tcBorders>
              <w:top w:val="nil"/>
              <w:left w:val="nil"/>
              <w:bottom w:val="nil"/>
              <w:right w:val="nil"/>
            </w:tcBorders>
            <w:shd w:val="clear" w:color="auto" w:fill="auto"/>
            <w:noWrap/>
            <w:vAlign w:val="bottom"/>
            <w:hideMark/>
          </w:tcPr>
          <w:p w14:paraId="44FE3F53" w14:textId="77777777" w:rsidR="00681013" w:rsidRPr="009109DE" w:rsidRDefault="00681013" w:rsidP="009109DE">
            <w:pPr>
              <w:jc w:val="center"/>
              <w:rPr>
                <w:sz w:val="16"/>
                <w:szCs w:val="16"/>
                <w:lang w:eastAsia="es-ES"/>
              </w:rPr>
            </w:pPr>
          </w:p>
        </w:tc>
        <w:tc>
          <w:tcPr>
            <w:tcW w:w="1249" w:type="dxa"/>
            <w:tcBorders>
              <w:top w:val="nil"/>
              <w:left w:val="nil"/>
              <w:bottom w:val="nil"/>
              <w:right w:val="nil"/>
            </w:tcBorders>
            <w:shd w:val="clear" w:color="auto" w:fill="auto"/>
            <w:noWrap/>
            <w:vAlign w:val="bottom"/>
            <w:hideMark/>
          </w:tcPr>
          <w:p w14:paraId="68D03262" w14:textId="77777777" w:rsidR="00681013" w:rsidRPr="009109DE" w:rsidRDefault="00681013" w:rsidP="009109DE">
            <w:pPr>
              <w:jc w:val="center"/>
              <w:rPr>
                <w:sz w:val="16"/>
                <w:szCs w:val="16"/>
                <w:lang w:eastAsia="es-ES"/>
              </w:rPr>
            </w:pPr>
          </w:p>
        </w:tc>
        <w:tc>
          <w:tcPr>
            <w:tcW w:w="169" w:type="dxa"/>
            <w:tcBorders>
              <w:top w:val="nil"/>
              <w:left w:val="nil"/>
              <w:bottom w:val="nil"/>
              <w:right w:val="nil"/>
            </w:tcBorders>
            <w:shd w:val="clear" w:color="auto" w:fill="auto"/>
            <w:noWrap/>
            <w:vAlign w:val="bottom"/>
            <w:hideMark/>
          </w:tcPr>
          <w:p w14:paraId="1629D4A3" w14:textId="77777777" w:rsidR="00681013" w:rsidRPr="009109DE" w:rsidRDefault="00681013" w:rsidP="009109DE">
            <w:pPr>
              <w:jc w:val="center"/>
              <w:rPr>
                <w:sz w:val="16"/>
                <w:szCs w:val="16"/>
                <w:lang w:eastAsia="es-ES"/>
              </w:rPr>
            </w:pPr>
          </w:p>
        </w:tc>
        <w:tc>
          <w:tcPr>
            <w:tcW w:w="847" w:type="dxa"/>
            <w:tcBorders>
              <w:top w:val="nil"/>
              <w:left w:val="nil"/>
              <w:bottom w:val="nil"/>
              <w:right w:val="nil"/>
            </w:tcBorders>
            <w:shd w:val="clear" w:color="auto" w:fill="auto"/>
            <w:noWrap/>
            <w:vAlign w:val="bottom"/>
            <w:hideMark/>
          </w:tcPr>
          <w:p w14:paraId="5DCF2E6E" w14:textId="77777777" w:rsidR="00681013" w:rsidRPr="009109DE" w:rsidRDefault="00681013" w:rsidP="009109DE">
            <w:pPr>
              <w:jc w:val="center"/>
              <w:rPr>
                <w:sz w:val="16"/>
                <w:szCs w:val="16"/>
                <w:lang w:eastAsia="es-ES"/>
              </w:rPr>
            </w:pPr>
          </w:p>
        </w:tc>
      </w:tr>
      <w:tr w:rsidR="00681013" w:rsidRPr="009109DE" w14:paraId="0E37E7A0" w14:textId="77777777" w:rsidTr="009109DE">
        <w:trPr>
          <w:trHeight w:val="296"/>
        </w:trPr>
        <w:tc>
          <w:tcPr>
            <w:tcW w:w="1552" w:type="dxa"/>
            <w:tcBorders>
              <w:top w:val="nil"/>
              <w:left w:val="nil"/>
              <w:bottom w:val="nil"/>
              <w:right w:val="nil"/>
            </w:tcBorders>
            <w:shd w:val="clear" w:color="000000" w:fill="A6A6A6"/>
            <w:noWrap/>
            <w:vAlign w:val="bottom"/>
            <w:hideMark/>
          </w:tcPr>
          <w:p w14:paraId="405FCEA2" w14:textId="77777777" w:rsidR="00681013" w:rsidRPr="009109DE" w:rsidRDefault="00681013" w:rsidP="00084399">
            <w:pPr>
              <w:rPr>
                <w:rStyle w:val="nfasissutil"/>
                <w:sz w:val="16"/>
                <w:szCs w:val="16"/>
              </w:rPr>
            </w:pPr>
            <w:r w:rsidRPr="009109DE">
              <w:rPr>
                <w:rStyle w:val="nfasissutil"/>
                <w:sz w:val="16"/>
                <w:szCs w:val="16"/>
              </w:rPr>
              <w:t>TOTAL ACTIVO</w:t>
            </w:r>
          </w:p>
        </w:tc>
        <w:tc>
          <w:tcPr>
            <w:tcW w:w="2295" w:type="dxa"/>
            <w:tcBorders>
              <w:top w:val="nil"/>
              <w:left w:val="nil"/>
              <w:bottom w:val="nil"/>
              <w:right w:val="nil"/>
            </w:tcBorders>
            <w:shd w:val="clear" w:color="000000" w:fill="A6A6A6"/>
            <w:noWrap/>
            <w:vAlign w:val="bottom"/>
            <w:hideMark/>
          </w:tcPr>
          <w:p w14:paraId="3686F57E" w14:textId="77777777" w:rsidR="00681013" w:rsidRPr="009109DE" w:rsidRDefault="00681013" w:rsidP="00084399">
            <w:pPr>
              <w:rPr>
                <w:rStyle w:val="nfasissutil"/>
                <w:sz w:val="16"/>
                <w:szCs w:val="16"/>
              </w:rPr>
            </w:pPr>
            <w:r w:rsidRPr="009109DE">
              <w:rPr>
                <w:rStyle w:val="nfasissutil"/>
                <w:sz w:val="16"/>
                <w:szCs w:val="16"/>
              </w:rPr>
              <w:t> </w:t>
            </w:r>
          </w:p>
        </w:tc>
        <w:tc>
          <w:tcPr>
            <w:tcW w:w="1093" w:type="dxa"/>
            <w:tcBorders>
              <w:top w:val="nil"/>
              <w:left w:val="nil"/>
              <w:bottom w:val="nil"/>
              <w:right w:val="nil"/>
            </w:tcBorders>
            <w:shd w:val="clear" w:color="000000" w:fill="A6A6A6"/>
            <w:noWrap/>
            <w:vAlign w:val="bottom"/>
            <w:hideMark/>
          </w:tcPr>
          <w:p w14:paraId="7284B80A" w14:textId="1C701B68" w:rsidR="00681013" w:rsidRPr="009109DE" w:rsidRDefault="00C7686A" w:rsidP="009109DE">
            <w:pPr>
              <w:jc w:val="center"/>
              <w:rPr>
                <w:rStyle w:val="nfasissutil"/>
                <w:sz w:val="16"/>
                <w:szCs w:val="16"/>
              </w:rPr>
            </w:pPr>
            <w:r>
              <w:rPr>
                <w:rStyle w:val="nfasissutil"/>
                <w:sz w:val="16"/>
                <w:szCs w:val="16"/>
              </w:rPr>
              <w:t>1</w:t>
            </w:r>
            <w:r w:rsidRPr="00C7686A">
              <w:rPr>
                <w:rStyle w:val="nfasissutil"/>
                <w:sz w:val="16"/>
                <w:szCs w:val="16"/>
              </w:rPr>
              <w:t>1.417.060</w:t>
            </w:r>
          </w:p>
        </w:tc>
        <w:tc>
          <w:tcPr>
            <w:tcW w:w="335" w:type="dxa"/>
            <w:tcBorders>
              <w:top w:val="nil"/>
              <w:left w:val="nil"/>
              <w:bottom w:val="nil"/>
              <w:right w:val="nil"/>
            </w:tcBorders>
            <w:shd w:val="clear" w:color="auto" w:fill="auto"/>
            <w:noWrap/>
            <w:vAlign w:val="bottom"/>
            <w:hideMark/>
          </w:tcPr>
          <w:p w14:paraId="68954C98" w14:textId="77777777" w:rsidR="00681013" w:rsidRPr="009109DE" w:rsidRDefault="00681013" w:rsidP="009109DE">
            <w:pPr>
              <w:jc w:val="center"/>
              <w:rPr>
                <w:rStyle w:val="nfasissutil"/>
                <w:sz w:val="16"/>
                <w:szCs w:val="16"/>
              </w:rPr>
            </w:pPr>
          </w:p>
        </w:tc>
        <w:tc>
          <w:tcPr>
            <w:tcW w:w="1258" w:type="dxa"/>
            <w:tcBorders>
              <w:top w:val="nil"/>
              <w:left w:val="nil"/>
              <w:bottom w:val="nil"/>
              <w:right w:val="nil"/>
            </w:tcBorders>
            <w:shd w:val="clear" w:color="000000" w:fill="A6A6A6"/>
            <w:noWrap/>
            <w:vAlign w:val="bottom"/>
            <w:hideMark/>
          </w:tcPr>
          <w:p w14:paraId="42A851E3" w14:textId="42FF779D" w:rsidR="00681013" w:rsidRPr="009109DE" w:rsidRDefault="00104ABB" w:rsidP="009109DE">
            <w:pPr>
              <w:jc w:val="center"/>
              <w:rPr>
                <w:rStyle w:val="nfasissutil"/>
                <w:sz w:val="16"/>
                <w:szCs w:val="16"/>
              </w:rPr>
            </w:pPr>
            <w:r>
              <w:rPr>
                <w:rStyle w:val="nfasissutil"/>
                <w:sz w:val="16"/>
                <w:szCs w:val="16"/>
              </w:rPr>
              <w:t>9</w:t>
            </w:r>
            <w:r w:rsidRPr="00104ABB">
              <w:rPr>
                <w:rStyle w:val="nfasissutil"/>
                <w:sz w:val="16"/>
                <w:szCs w:val="16"/>
              </w:rPr>
              <w:t>.66</w:t>
            </w:r>
            <w:r w:rsidR="00A706F5">
              <w:rPr>
                <w:rStyle w:val="nfasissutil"/>
                <w:sz w:val="16"/>
                <w:szCs w:val="16"/>
              </w:rPr>
              <w:t>9</w:t>
            </w:r>
            <w:r w:rsidRPr="00104ABB">
              <w:rPr>
                <w:rStyle w:val="nfasissutil"/>
                <w:sz w:val="16"/>
                <w:szCs w:val="16"/>
              </w:rPr>
              <w:t>.4</w:t>
            </w:r>
            <w:r w:rsidR="00A706F5">
              <w:rPr>
                <w:rStyle w:val="nfasissutil"/>
                <w:sz w:val="16"/>
                <w:szCs w:val="16"/>
              </w:rPr>
              <w:t>1</w:t>
            </w:r>
            <w:r w:rsidRPr="00104ABB">
              <w:rPr>
                <w:rStyle w:val="nfasissutil"/>
                <w:sz w:val="16"/>
                <w:szCs w:val="16"/>
              </w:rPr>
              <w:t>0</w:t>
            </w:r>
          </w:p>
        </w:tc>
        <w:tc>
          <w:tcPr>
            <w:tcW w:w="154" w:type="dxa"/>
            <w:tcBorders>
              <w:top w:val="nil"/>
              <w:left w:val="nil"/>
              <w:bottom w:val="nil"/>
              <w:right w:val="nil"/>
            </w:tcBorders>
            <w:shd w:val="clear" w:color="auto" w:fill="auto"/>
            <w:noWrap/>
            <w:vAlign w:val="bottom"/>
            <w:hideMark/>
          </w:tcPr>
          <w:p w14:paraId="4E5A562B" w14:textId="77777777" w:rsidR="00681013" w:rsidRPr="009109DE" w:rsidRDefault="00681013" w:rsidP="009109DE">
            <w:pPr>
              <w:jc w:val="center"/>
              <w:rPr>
                <w:rStyle w:val="nfasissutil"/>
                <w:sz w:val="16"/>
                <w:szCs w:val="16"/>
              </w:rPr>
            </w:pPr>
          </w:p>
        </w:tc>
        <w:tc>
          <w:tcPr>
            <w:tcW w:w="1249" w:type="dxa"/>
            <w:tcBorders>
              <w:top w:val="nil"/>
              <w:left w:val="nil"/>
              <w:bottom w:val="nil"/>
              <w:right w:val="nil"/>
            </w:tcBorders>
            <w:shd w:val="clear" w:color="000000" w:fill="A6A6A6"/>
            <w:noWrap/>
            <w:vAlign w:val="bottom"/>
            <w:hideMark/>
          </w:tcPr>
          <w:p w14:paraId="7AA88E41" w14:textId="438F9E2B" w:rsidR="00681013" w:rsidRPr="009109DE" w:rsidRDefault="00681013" w:rsidP="009109DE">
            <w:pPr>
              <w:jc w:val="center"/>
              <w:rPr>
                <w:rStyle w:val="nfasissutil"/>
                <w:sz w:val="16"/>
                <w:szCs w:val="16"/>
              </w:rPr>
            </w:pPr>
            <w:r w:rsidRPr="009109DE">
              <w:rPr>
                <w:rStyle w:val="nfasissutil"/>
                <w:sz w:val="16"/>
                <w:szCs w:val="16"/>
              </w:rPr>
              <w:t>-</w:t>
            </w:r>
            <w:r w:rsidR="00104ABB">
              <w:rPr>
                <w:rStyle w:val="nfasissutil"/>
                <w:sz w:val="16"/>
                <w:szCs w:val="16"/>
              </w:rPr>
              <w:t>1</w:t>
            </w:r>
            <w:r w:rsidR="00104ABB" w:rsidRPr="00104ABB">
              <w:rPr>
                <w:rStyle w:val="nfasissutil"/>
                <w:sz w:val="16"/>
                <w:szCs w:val="16"/>
              </w:rPr>
              <w:t>.</w:t>
            </w:r>
            <w:r w:rsidR="00A706F5">
              <w:rPr>
                <w:rStyle w:val="nfasissutil"/>
                <w:sz w:val="16"/>
                <w:szCs w:val="16"/>
              </w:rPr>
              <w:t>747.651</w:t>
            </w:r>
          </w:p>
        </w:tc>
        <w:tc>
          <w:tcPr>
            <w:tcW w:w="169" w:type="dxa"/>
            <w:tcBorders>
              <w:top w:val="nil"/>
              <w:left w:val="nil"/>
              <w:bottom w:val="nil"/>
              <w:right w:val="nil"/>
            </w:tcBorders>
            <w:shd w:val="clear" w:color="auto" w:fill="auto"/>
            <w:noWrap/>
            <w:vAlign w:val="bottom"/>
            <w:hideMark/>
          </w:tcPr>
          <w:p w14:paraId="2F663D43" w14:textId="77777777" w:rsidR="00681013" w:rsidRPr="009109DE" w:rsidRDefault="00681013" w:rsidP="009109DE">
            <w:pPr>
              <w:jc w:val="center"/>
              <w:rPr>
                <w:rStyle w:val="nfasissutil"/>
                <w:sz w:val="16"/>
                <w:szCs w:val="16"/>
              </w:rPr>
            </w:pPr>
          </w:p>
        </w:tc>
        <w:tc>
          <w:tcPr>
            <w:tcW w:w="847" w:type="dxa"/>
            <w:tcBorders>
              <w:top w:val="nil"/>
              <w:left w:val="nil"/>
              <w:bottom w:val="nil"/>
              <w:right w:val="nil"/>
            </w:tcBorders>
            <w:shd w:val="clear" w:color="000000" w:fill="A6A6A6"/>
            <w:noWrap/>
            <w:vAlign w:val="bottom"/>
            <w:hideMark/>
          </w:tcPr>
          <w:p w14:paraId="004911AE" w14:textId="42475D93" w:rsidR="00681013" w:rsidRPr="009109DE" w:rsidRDefault="00104ABB" w:rsidP="009109DE">
            <w:pPr>
              <w:jc w:val="center"/>
              <w:rPr>
                <w:rStyle w:val="nfasissutil"/>
                <w:sz w:val="16"/>
                <w:szCs w:val="16"/>
              </w:rPr>
            </w:pPr>
            <w:r>
              <w:rPr>
                <w:rStyle w:val="nfasissutil"/>
                <w:sz w:val="16"/>
                <w:szCs w:val="16"/>
              </w:rPr>
              <w:t>-</w:t>
            </w:r>
            <w:r w:rsidRPr="00104ABB">
              <w:rPr>
                <w:rStyle w:val="nfasissutil"/>
                <w:sz w:val="16"/>
                <w:szCs w:val="16"/>
              </w:rPr>
              <w:t>15.</w:t>
            </w:r>
            <w:r w:rsidR="00A706F5">
              <w:rPr>
                <w:rStyle w:val="nfasissutil"/>
                <w:sz w:val="16"/>
                <w:szCs w:val="16"/>
              </w:rPr>
              <w:t>3</w:t>
            </w:r>
            <w:r w:rsidR="00681013" w:rsidRPr="009109DE">
              <w:rPr>
                <w:rStyle w:val="nfasissutil"/>
                <w:sz w:val="16"/>
                <w:szCs w:val="16"/>
              </w:rPr>
              <w:t>%</w:t>
            </w:r>
          </w:p>
        </w:tc>
      </w:tr>
      <w:tr w:rsidR="00681013" w:rsidRPr="009109DE" w14:paraId="65D8E001" w14:textId="77777777" w:rsidTr="009109DE">
        <w:trPr>
          <w:trHeight w:val="296"/>
        </w:trPr>
        <w:tc>
          <w:tcPr>
            <w:tcW w:w="3847" w:type="dxa"/>
            <w:gridSpan w:val="2"/>
            <w:tcBorders>
              <w:top w:val="nil"/>
              <w:left w:val="nil"/>
              <w:bottom w:val="nil"/>
              <w:right w:val="nil"/>
            </w:tcBorders>
            <w:shd w:val="clear" w:color="auto" w:fill="auto"/>
            <w:noWrap/>
            <w:vAlign w:val="bottom"/>
            <w:hideMark/>
          </w:tcPr>
          <w:p w14:paraId="11BDAD6F" w14:textId="77777777" w:rsidR="00681013" w:rsidRPr="009109DE" w:rsidRDefault="00681013" w:rsidP="00084399">
            <w:pPr>
              <w:rPr>
                <w:sz w:val="16"/>
                <w:szCs w:val="16"/>
                <w:lang w:eastAsia="es-ES"/>
              </w:rPr>
            </w:pPr>
            <w:r w:rsidRPr="009109DE">
              <w:rPr>
                <w:sz w:val="16"/>
                <w:szCs w:val="16"/>
                <w:lang w:eastAsia="es-ES"/>
              </w:rPr>
              <w:t>Fondos dotacionales</w:t>
            </w:r>
          </w:p>
        </w:tc>
        <w:tc>
          <w:tcPr>
            <w:tcW w:w="1093" w:type="dxa"/>
            <w:tcBorders>
              <w:top w:val="nil"/>
              <w:left w:val="nil"/>
              <w:bottom w:val="nil"/>
              <w:right w:val="nil"/>
            </w:tcBorders>
            <w:shd w:val="clear" w:color="auto" w:fill="auto"/>
            <w:noWrap/>
            <w:vAlign w:val="bottom"/>
            <w:hideMark/>
          </w:tcPr>
          <w:p w14:paraId="34B34808" w14:textId="77777777" w:rsidR="00681013" w:rsidRPr="009109DE" w:rsidRDefault="00681013" w:rsidP="009109DE">
            <w:pPr>
              <w:jc w:val="center"/>
              <w:rPr>
                <w:sz w:val="16"/>
                <w:szCs w:val="16"/>
                <w:lang w:eastAsia="es-ES"/>
              </w:rPr>
            </w:pPr>
            <w:r w:rsidRPr="009109DE">
              <w:rPr>
                <w:sz w:val="16"/>
                <w:szCs w:val="16"/>
                <w:lang w:eastAsia="es-ES"/>
              </w:rPr>
              <w:t>60.000</w:t>
            </w:r>
          </w:p>
        </w:tc>
        <w:tc>
          <w:tcPr>
            <w:tcW w:w="335" w:type="dxa"/>
            <w:tcBorders>
              <w:top w:val="nil"/>
              <w:left w:val="nil"/>
              <w:bottom w:val="nil"/>
              <w:right w:val="nil"/>
            </w:tcBorders>
            <w:shd w:val="clear" w:color="auto" w:fill="auto"/>
            <w:noWrap/>
            <w:vAlign w:val="bottom"/>
            <w:hideMark/>
          </w:tcPr>
          <w:p w14:paraId="5CDF3C98"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000000" w:fill="FFFFFF"/>
            <w:noWrap/>
            <w:vAlign w:val="bottom"/>
            <w:hideMark/>
          </w:tcPr>
          <w:p w14:paraId="7B246F87" w14:textId="77777777" w:rsidR="00681013" w:rsidRPr="009109DE" w:rsidRDefault="00681013" w:rsidP="009109DE">
            <w:pPr>
              <w:jc w:val="center"/>
              <w:rPr>
                <w:sz w:val="16"/>
                <w:szCs w:val="16"/>
                <w:lang w:eastAsia="es-ES"/>
              </w:rPr>
            </w:pPr>
            <w:r w:rsidRPr="009109DE">
              <w:rPr>
                <w:sz w:val="16"/>
                <w:szCs w:val="16"/>
                <w:lang w:eastAsia="es-ES"/>
              </w:rPr>
              <w:t>60.000</w:t>
            </w:r>
          </w:p>
        </w:tc>
        <w:tc>
          <w:tcPr>
            <w:tcW w:w="154" w:type="dxa"/>
            <w:tcBorders>
              <w:top w:val="nil"/>
              <w:left w:val="nil"/>
              <w:bottom w:val="nil"/>
              <w:right w:val="nil"/>
            </w:tcBorders>
            <w:shd w:val="clear" w:color="auto" w:fill="auto"/>
            <w:noWrap/>
            <w:vAlign w:val="bottom"/>
            <w:hideMark/>
          </w:tcPr>
          <w:p w14:paraId="3FD785DB" w14:textId="77777777" w:rsidR="00681013" w:rsidRPr="009109DE" w:rsidRDefault="00681013" w:rsidP="009109DE">
            <w:pPr>
              <w:jc w:val="center"/>
              <w:rPr>
                <w:sz w:val="16"/>
                <w:szCs w:val="16"/>
                <w:lang w:eastAsia="es-ES"/>
              </w:rPr>
            </w:pPr>
          </w:p>
        </w:tc>
        <w:tc>
          <w:tcPr>
            <w:tcW w:w="1249" w:type="dxa"/>
            <w:tcBorders>
              <w:top w:val="nil"/>
              <w:left w:val="nil"/>
              <w:bottom w:val="nil"/>
              <w:right w:val="nil"/>
            </w:tcBorders>
            <w:shd w:val="clear" w:color="auto" w:fill="auto"/>
            <w:noWrap/>
            <w:vAlign w:val="bottom"/>
            <w:hideMark/>
          </w:tcPr>
          <w:p w14:paraId="4A36E71E" w14:textId="77777777" w:rsidR="00681013" w:rsidRPr="009109DE" w:rsidRDefault="00681013" w:rsidP="009109DE">
            <w:pPr>
              <w:jc w:val="center"/>
              <w:rPr>
                <w:sz w:val="16"/>
                <w:szCs w:val="16"/>
                <w:lang w:eastAsia="es-ES"/>
              </w:rPr>
            </w:pPr>
            <w:r w:rsidRPr="009109DE">
              <w:rPr>
                <w:sz w:val="16"/>
                <w:szCs w:val="16"/>
                <w:lang w:eastAsia="es-ES"/>
              </w:rPr>
              <w:t>0</w:t>
            </w:r>
          </w:p>
        </w:tc>
        <w:tc>
          <w:tcPr>
            <w:tcW w:w="169" w:type="dxa"/>
            <w:tcBorders>
              <w:top w:val="nil"/>
              <w:left w:val="nil"/>
              <w:bottom w:val="nil"/>
              <w:right w:val="nil"/>
            </w:tcBorders>
            <w:shd w:val="clear" w:color="auto" w:fill="auto"/>
            <w:noWrap/>
            <w:vAlign w:val="bottom"/>
            <w:hideMark/>
          </w:tcPr>
          <w:p w14:paraId="374D4B75" w14:textId="77777777" w:rsidR="00681013" w:rsidRPr="009109DE" w:rsidRDefault="00681013" w:rsidP="009109DE">
            <w:pPr>
              <w:jc w:val="center"/>
              <w:rPr>
                <w:sz w:val="16"/>
                <w:szCs w:val="16"/>
                <w:lang w:eastAsia="es-ES"/>
              </w:rPr>
            </w:pPr>
          </w:p>
        </w:tc>
        <w:tc>
          <w:tcPr>
            <w:tcW w:w="847" w:type="dxa"/>
            <w:tcBorders>
              <w:top w:val="nil"/>
              <w:left w:val="nil"/>
              <w:bottom w:val="nil"/>
              <w:right w:val="nil"/>
            </w:tcBorders>
            <w:shd w:val="clear" w:color="auto" w:fill="auto"/>
            <w:noWrap/>
            <w:vAlign w:val="bottom"/>
            <w:hideMark/>
          </w:tcPr>
          <w:p w14:paraId="2B548E03" w14:textId="77777777" w:rsidR="00681013" w:rsidRPr="009109DE" w:rsidRDefault="00681013" w:rsidP="009109DE">
            <w:pPr>
              <w:jc w:val="center"/>
              <w:rPr>
                <w:sz w:val="16"/>
                <w:szCs w:val="16"/>
                <w:lang w:eastAsia="es-ES"/>
              </w:rPr>
            </w:pPr>
            <w:r w:rsidRPr="009109DE">
              <w:rPr>
                <w:sz w:val="16"/>
                <w:szCs w:val="16"/>
                <w:lang w:eastAsia="es-ES"/>
              </w:rPr>
              <w:t>0%</w:t>
            </w:r>
          </w:p>
        </w:tc>
      </w:tr>
      <w:tr w:rsidR="00681013" w:rsidRPr="009109DE" w14:paraId="2A004C59" w14:textId="77777777" w:rsidTr="009109DE">
        <w:trPr>
          <w:trHeight w:val="296"/>
        </w:trPr>
        <w:tc>
          <w:tcPr>
            <w:tcW w:w="3847" w:type="dxa"/>
            <w:gridSpan w:val="2"/>
            <w:tcBorders>
              <w:top w:val="nil"/>
              <w:left w:val="nil"/>
              <w:bottom w:val="nil"/>
              <w:right w:val="nil"/>
            </w:tcBorders>
            <w:shd w:val="clear" w:color="auto" w:fill="auto"/>
            <w:noWrap/>
            <w:vAlign w:val="bottom"/>
            <w:hideMark/>
          </w:tcPr>
          <w:p w14:paraId="4C167B2D" w14:textId="77777777" w:rsidR="00681013" w:rsidRPr="009109DE" w:rsidRDefault="00681013" w:rsidP="00084399">
            <w:pPr>
              <w:rPr>
                <w:sz w:val="16"/>
                <w:szCs w:val="16"/>
                <w:lang w:eastAsia="es-ES"/>
              </w:rPr>
            </w:pPr>
            <w:r w:rsidRPr="009109DE">
              <w:rPr>
                <w:sz w:val="16"/>
                <w:szCs w:val="16"/>
                <w:lang w:eastAsia="es-ES"/>
              </w:rPr>
              <w:t>Resultados ejercicios anteriores</w:t>
            </w:r>
          </w:p>
        </w:tc>
        <w:tc>
          <w:tcPr>
            <w:tcW w:w="1093" w:type="dxa"/>
            <w:tcBorders>
              <w:top w:val="nil"/>
              <w:left w:val="nil"/>
              <w:bottom w:val="nil"/>
              <w:right w:val="nil"/>
            </w:tcBorders>
            <w:shd w:val="clear" w:color="auto" w:fill="auto"/>
            <w:noWrap/>
            <w:vAlign w:val="bottom"/>
            <w:hideMark/>
          </w:tcPr>
          <w:p w14:paraId="15804E02" w14:textId="352EFC3A" w:rsidR="00681013" w:rsidRPr="009109DE" w:rsidRDefault="008A53BB" w:rsidP="009109DE">
            <w:pPr>
              <w:jc w:val="center"/>
              <w:rPr>
                <w:sz w:val="16"/>
                <w:szCs w:val="16"/>
                <w:lang w:eastAsia="es-ES"/>
              </w:rPr>
            </w:pPr>
            <w:r>
              <w:rPr>
                <w:sz w:val="16"/>
                <w:szCs w:val="16"/>
                <w:lang w:eastAsia="es-ES"/>
              </w:rPr>
              <w:t>4.260.376</w:t>
            </w:r>
          </w:p>
        </w:tc>
        <w:tc>
          <w:tcPr>
            <w:tcW w:w="335" w:type="dxa"/>
            <w:tcBorders>
              <w:top w:val="nil"/>
              <w:left w:val="nil"/>
              <w:bottom w:val="nil"/>
              <w:right w:val="nil"/>
            </w:tcBorders>
            <w:shd w:val="clear" w:color="auto" w:fill="auto"/>
            <w:noWrap/>
            <w:vAlign w:val="bottom"/>
            <w:hideMark/>
          </w:tcPr>
          <w:p w14:paraId="763D6256"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000000" w:fill="FFFFFF"/>
            <w:noWrap/>
            <w:vAlign w:val="bottom"/>
            <w:hideMark/>
          </w:tcPr>
          <w:p w14:paraId="2BF2859D" w14:textId="604F424E" w:rsidR="00681013" w:rsidRPr="009109DE" w:rsidRDefault="008A53BB" w:rsidP="009109DE">
            <w:pPr>
              <w:jc w:val="center"/>
              <w:rPr>
                <w:sz w:val="16"/>
                <w:szCs w:val="16"/>
                <w:lang w:eastAsia="es-ES"/>
              </w:rPr>
            </w:pPr>
            <w:r>
              <w:rPr>
                <w:sz w:val="16"/>
                <w:szCs w:val="16"/>
                <w:lang w:eastAsia="es-ES"/>
              </w:rPr>
              <w:t>4.279.256</w:t>
            </w:r>
          </w:p>
        </w:tc>
        <w:tc>
          <w:tcPr>
            <w:tcW w:w="154" w:type="dxa"/>
            <w:tcBorders>
              <w:top w:val="nil"/>
              <w:left w:val="nil"/>
              <w:bottom w:val="nil"/>
              <w:right w:val="nil"/>
            </w:tcBorders>
            <w:shd w:val="clear" w:color="auto" w:fill="auto"/>
            <w:noWrap/>
            <w:vAlign w:val="bottom"/>
            <w:hideMark/>
          </w:tcPr>
          <w:p w14:paraId="11FCA1FE" w14:textId="77777777" w:rsidR="00681013" w:rsidRPr="009109DE" w:rsidRDefault="00681013" w:rsidP="009109DE">
            <w:pPr>
              <w:jc w:val="center"/>
              <w:rPr>
                <w:sz w:val="16"/>
                <w:szCs w:val="16"/>
                <w:lang w:eastAsia="es-ES"/>
              </w:rPr>
            </w:pPr>
          </w:p>
        </w:tc>
        <w:tc>
          <w:tcPr>
            <w:tcW w:w="1249" w:type="dxa"/>
            <w:tcBorders>
              <w:top w:val="nil"/>
              <w:left w:val="nil"/>
              <w:bottom w:val="nil"/>
              <w:right w:val="nil"/>
            </w:tcBorders>
            <w:shd w:val="clear" w:color="auto" w:fill="auto"/>
            <w:noWrap/>
            <w:vAlign w:val="bottom"/>
            <w:hideMark/>
          </w:tcPr>
          <w:p w14:paraId="23DF4B77" w14:textId="19ECBEDC" w:rsidR="00681013" w:rsidRPr="009109DE" w:rsidRDefault="00104ABB" w:rsidP="009109DE">
            <w:pPr>
              <w:jc w:val="center"/>
              <w:rPr>
                <w:sz w:val="16"/>
                <w:szCs w:val="16"/>
                <w:lang w:eastAsia="es-ES"/>
              </w:rPr>
            </w:pPr>
            <w:r>
              <w:rPr>
                <w:sz w:val="16"/>
                <w:szCs w:val="16"/>
                <w:lang w:eastAsia="es-ES"/>
              </w:rPr>
              <w:t>18.880</w:t>
            </w:r>
          </w:p>
        </w:tc>
        <w:tc>
          <w:tcPr>
            <w:tcW w:w="169" w:type="dxa"/>
            <w:tcBorders>
              <w:top w:val="nil"/>
              <w:left w:val="nil"/>
              <w:bottom w:val="nil"/>
              <w:right w:val="nil"/>
            </w:tcBorders>
            <w:shd w:val="clear" w:color="auto" w:fill="auto"/>
            <w:noWrap/>
            <w:vAlign w:val="bottom"/>
            <w:hideMark/>
          </w:tcPr>
          <w:p w14:paraId="485EE4EE" w14:textId="77777777" w:rsidR="00681013" w:rsidRPr="009109DE" w:rsidRDefault="00681013" w:rsidP="009109DE">
            <w:pPr>
              <w:jc w:val="center"/>
              <w:rPr>
                <w:sz w:val="16"/>
                <w:szCs w:val="16"/>
                <w:lang w:eastAsia="es-ES"/>
              </w:rPr>
            </w:pPr>
          </w:p>
        </w:tc>
        <w:tc>
          <w:tcPr>
            <w:tcW w:w="847" w:type="dxa"/>
            <w:tcBorders>
              <w:top w:val="nil"/>
              <w:left w:val="nil"/>
              <w:bottom w:val="nil"/>
              <w:right w:val="nil"/>
            </w:tcBorders>
            <w:shd w:val="clear" w:color="auto" w:fill="auto"/>
            <w:noWrap/>
            <w:vAlign w:val="bottom"/>
            <w:hideMark/>
          </w:tcPr>
          <w:p w14:paraId="7B8149FC" w14:textId="33824749" w:rsidR="00681013" w:rsidRPr="009109DE" w:rsidRDefault="00681013" w:rsidP="009109DE">
            <w:pPr>
              <w:jc w:val="center"/>
              <w:rPr>
                <w:sz w:val="16"/>
                <w:szCs w:val="16"/>
                <w:lang w:eastAsia="es-ES"/>
              </w:rPr>
            </w:pPr>
            <w:r w:rsidRPr="009109DE">
              <w:rPr>
                <w:sz w:val="16"/>
                <w:szCs w:val="16"/>
                <w:lang w:eastAsia="es-ES"/>
              </w:rPr>
              <w:t>0</w:t>
            </w:r>
            <w:r w:rsidR="008A53BB">
              <w:rPr>
                <w:sz w:val="16"/>
                <w:szCs w:val="16"/>
                <w:lang w:eastAsia="es-ES"/>
              </w:rPr>
              <w:t>.4</w:t>
            </w:r>
            <w:r w:rsidRPr="009109DE">
              <w:rPr>
                <w:sz w:val="16"/>
                <w:szCs w:val="16"/>
                <w:lang w:eastAsia="es-ES"/>
              </w:rPr>
              <w:t>%</w:t>
            </w:r>
          </w:p>
        </w:tc>
      </w:tr>
      <w:tr w:rsidR="00681013" w:rsidRPr="009109DE" w14:paraId="1D47170C" w14:textId="77777777" w:rsidTr="009109DE">
        <w:trPr>
          <w:trHeight w:val="296"/>
        </w:trPr>
        <w:tc>
          <w:tcPr>
            <w:tcW w:w="3847" w:type="dxa"/>
            <w:gridSpan w:val="2"/>
            <w:tcBorders>
              <w:top w:val="nil"/>
              <w:left w:val="nil"/>
              <w:bottom w:val="nil"/>
              <w:right w:val="nil"/>
            </w:tcBorders>
            <w:shd w:val="clear" w:color="auto" w:fill="auto"/>
            <w:noWrap/>
            <w:vAlign w:val="bottom"/>
            <w:hideMark/>
          </w:tcPr>
          <w:p w14:paraId="687DB949" w14:textId="77777777" w:rsidR="00681013" w:rsidRPr="009109DE" w:rsidRDefault="00681013" w:rsidP="00084399">
            <w:pPr>
              <w:rPr>
                <w:sz w:val="16"/>
                <w:szCs w:val="16"/>
                <w:lang w:eastAsia="es-ES"/>
              </w:rPr>
            </w:pPr>
            <w:r w:rsidRPr="009109DE">
              <w:rPr>
                <w:sz w:val="16"/>
                <w:szCs w:val="16"/>
                <w:lang w:eastAsia="es-ES"/>
              </w:rPr>
              <w:t>Subvenciones, donaciones y legados recibidos</w:t>
            </w:r>
          </w:p>
        </w:tc>
        <w:tc>
          <w:tcPr>
            <w:tcW w:w="1093" w:type="dxa"/>
            <w:tcBorders>
              <w:top w:val="nil"/>
              <w:left w:val="nil"/>
              <w:bottom w:val="nil"/>
              <w:right w:val="nil"/>
            </w:tcBorders>
            <w:shd w:val="clear" w:color="auto" w:fill="auto"/>
            <w:noWrap/>
            <w:vAlign w:val="bottom"/>
            <w:hideMark/>
          </w:tcPr>
          <w:p w14:paraId="3A3A263F" w14:textId="5C3E902D" w:rsidR="00681013" w:rsidRPr="009109DE" w:rsidRDefault="008A53BB" w:rsidP="009109DE">
            <w:pPr>
              <w:jc w:val="center"/>
              <w:rPr>
                <w:sz w:val="16"/>
                <w:szCs w:val="16"/>
                <w:lang w:eastAsia="es-ES"/>
              </w:rPr>
            </w:pPr>
            <w:r>
              <w:rPr>
                <w:sz w:val="16"/>
                <w:szCs w:val="16"/>
                <w:lang w:eastAsia="es-ES"/>
              </w:rPr>
              <w:t>2.814.156</w:t>
            </w:r>
          </w:p>
        </w:tc>
        <w:tc>
          <w:tcPr>
            <w:tcW w:w="335" w:type="dxa"/>
            <w:tcBorders>
              <w:top w:val="nil"/>
              <w:left w:val="nil"/>
              <w:bottom w:val="nil"/>
              <w:right w:val="nil"/>
            </w:tcBorders>
            <w:shd w:val="clear" w:color="auto" w:fill="auto"/>
            <w:noWrap/>
            <w:vAlign w:val="bottom"/>
            <w:hideMark/>
          </w:tcPr>
          <w:p w14:paraId="63DA1AF9"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000000" w:fill="FFFFFF"/>
            <w:noWrap/>
            <w:vAlign w:val="bottom"/>
            <w:hideMark/>
          </w:tcPr>
          <w:p w14:paraId="4149A55D" w14:textId="77777777" w:rsidR="00681013" w:rsidRPr="009109DE" w:rsidRDefault="00681013" w:rsidP="009109DE">
            <w:pPr>
              <w:jc w:val="center"/>
              <w:rPr>
                <w:sz w:val="16"/>
                <w:szCs w:val="16"/>
                <w:lang w:eastAsia="es-ES"/>
              </w:rPr>
            </w:pPr>
            <w:r w:rsidRPr="009109DE">
              <w:rPr>
                <w:sz w:val="16"/>
                <w:szCs w:val="16"/>
                <w:lang w:eastAsia="es-ES"/>
              </w:rPr>
              <w:t>3.632.470</w:t>
            </w:r>
          </w:p>
        </w:tc>
        <w:tc>
          <w:tcPr>
            <w:tcW w:w="154" w:type="dxa"/>
            <w:tcBorders>
              <w:top w:val="nil"/>
              <w:left w:val="nil"/>
              <w:bottom w:val="nil"/>
              <w:right w:val="nil"/>
            </w:tcBorders>
            <w:shd w:val="clear" w:color="auto" w:fill="auto"/>
            <w:noWrap/>
            <w:vAlign w:val="bottom"/>
            <w:hideMark/>
          </w:tcPr>
          <w:p w14:paraId="4159B1A2" w14:textId="77777777" w:rsidR="00681013" w:rsidRPr="009109DE" w:rsidRDefault="00681013" w:rsidP="009109DE">
            <w:pPr>
              <w:jc w:val="center"/>
              <w:rPr>
                <w:sz w:val="16"/>
                <w:szCs w:val="16"/>
                <w:lang w:eastAsia="es-ES"/>
              </w:rPr>
            </w:pPr>
          </w:p>
        </w:tc>
        <w:tc>
          <w:tcPr>
            <w:tcW w:w="1249" w:type="dxa"/>
            <w:tcBorders>
              <w:top w:val="nil"/>
              <w:left w:val="nil"/>
              <w:bottom w:val="nil"/>
              <w:right w:val="nil"/>
            </w:tcBorders>
            <w:shd w:val="clear" w:color="auto" w:fill="auto"/>
            <w:noWrap/>
            <w:vAlign w:val="bottom"/>
            <w:hideMark/>
          </w:tcPr>
          <w:p w14:paraId="29006D51" w14:textId="023E62AF" w:rsidR="00681013" w:rsidRPr="009109DE" w:rsidRDefault="003648CF" w:rsidP="009109DE">
            <w:pPr>
              <w:jc w:val="center"/>
              <w:rPr>
                <w:sz w:val="16"/>
                <w:szCs w:val="16"/>
                <w:lang w:eastAsia="es-ES"/>
              </w:rPr>
            </w:pPr>
            <w:r>
              <w:rPr>
                <w:sz w:val="16"/>
                <w:szCs w:val="16"/>
                <w:lang w:eastAsia="es-ES"/>
              </w:rPr>
              <w:t>-</w:t>
            </w:r>
            <w:r w:rsidR="008A53BB">
              <w:rPr>
                <w:sz w:val="16"/>
                <w:szCs w:val="16"/>
                <w:lang w:eastAsia="es-ES"/>
              </w:rPr>
              <w:t>339.607</w:t>
            </w:r>
          </w:p>
        </w:tc>
        <w:tc>
          <w:tcPr>
            <w:tcW w:w="169" w:type="dxa"/>
            <w:tcBorders>
              <w:top w:val="nil"/>
              <w:left w:val="nil"/>
              <w:bottom w:val="nil"/>
              <w:right w:val="nil"/>
            </w:tcBorders>
            <w:shd w:val="clear" w:color="auto" w:fill="auto"/>
            <w:noWrap/>
            <w:vAlign w:val="bottom"/>
            <w:hideMark/>
          </w:tcPr>
          <w:p w14:paraId="106E919F" w14:textId="77777777" w:rsidR="00681013" w:rsidRPr="009109DE" w:rsidRDefault="00681013" w:rsidP="009109DE">
            <w:pPr>
              <w:jc w:val="center"/>
              <w:rPr>
                <w:sz w:val="16"/>
                <w:szCs w:val="16"/>
                <w:lang w:eastAsia="es-ES"/>
              </w:rPr>
            </w:pPr>
          </w:p>
        </w:tc>
        <w:tc>
          <w:tcPr>
            <w:tcW w:w="847" w:type="dxa"/>
            <w:tcBorders>
              <w:top w:val="nil"/>
              <w:left w:val="nil"/>
              <w:bottom w:val="nil"/>
              <w:right w:val="nil"/>
            </w:tcBorders>
            <w:shd w:val="clear" w:color="auto" w:fill="auto"/>
            <w:noWrap/>
            <w:vAlign w:val="bottom"/>
            <w:hideMark/>
          </w:tcPr>
          <w:p w14:paraId="7CD54864" w14:textId="77C66FD6" w:rsidR="00681013" w:rsidRPr="009109DE" w:rsidRDefault="00407DD6" w:rsidP="009109DE">
            <w:pPr>
              <w:jc w:val="center"/>
              <w:rPr>
                <w:sz w:val="16"/>
                <w:szCs w:val="16"/>
                <w:lang w:eastAsia="es-ES"/>
              </w:rPr>
            </w:pPr>
            <w:r>
              <w:rPr>
                <w:sz w:val="16"/>
                <w:szCs w:val="16"/>
                <w:lang w:eastAsia="es-ES"/>
              </w:rPr>
              <w:t>-1</w:t>
            </w:r>
            <w:r w:rsidR="008A53BB">
              <w:rPr>
                <w:sz w:val="16"/>
                <w:szCs w:val="16"/>
                <w:lang w:eastAsia="es-ES"/>
              </w:rPr>
              <w:t>2</w:t>
            </w:r>
            <w:r w:rsidR="00681013" w:rsidRPr="009109DE">
              <w:rPr>
                <w:sz w:val="16"/>
                <w:szCs w:val="16"/>
                <w:lang w:eastAsia="es-ES"/>
              </w:rPr>
              <w:t>%</w:t>
            </w:r>
          </w:p>
        </w:tc>
      </w:tr>
      <w:tr w:rsidR="00681013" w:rsidRPr="009109DE" w14:paraId="5937EB40" w14:textId="77777777" w:rsidTr="009109DE">
        <w:trPr>
          <w:trHeight w:val="296"/>
        </w:trPr>
        <w:tc>
          <w:tcPr>
            <w:tcW w:w="3847" w:type="dxa"/>
            <w:gridSpan w:val="2"/>
            <w:tcBorders>
              <w:top w:val="nil"/>
              <w:left w:val="nil"/>
              <w:bottom w:val="nil"/>
              <w:right w:val="nil"/>
            </w:tcBorders>
            <w:shd w:val="clear" w:color="auto" w:fill="auto"/>
            <w:noWrap/>
            <w:vAlign w:val="bottom"/>
            <w:hideMark/>
          </w:tcPr>
          <w:p w14:paraId="4B4BDE6E" w14:textId="77777777" w:rsidR="00681013" w:rsidRPr="009109DE" w:rsidRDefault="00681013" w:rsidP="00084399">
            <w:pPr>
              <w:rPr>
                <w:sz w:val="16"/>
                <w:szCs w:val="16"/>
                <w:lang w:eastAsia="es-ES"/>
              </w:rPr>
            </w:pPr>
            <w:r w:rsidRPr="009109DE">
              <w:rPr>
                <w:sz w:val="16"/>
                <w:szCs w:val="16"/>
                <w:lang w:eastAsia="es-ES"/>
              </w:rPr>
              <w:t>Resultado del ejercicio</w:t>
            </w:r>
          </w:p>
        </w:tc>
        <w:tc>
          <w:tcPr>
            <w:tcW w:w="1093" w:type="dxa"/>
            <w:tcBorders>
              <w:top w:val="nil"/>
              <w:left w:val="nil"/>
              <w:bottom w:val="nil"/>
              <w:right w:val="nil"/>
            </w:tcBorders>
            <w:shd w:val="clear" w:color="auto" w:fill="auto"/>
            <w:noWrap/>
            <w:vAlign w:val="bottom"/>
            <w:hideMark/>
          </w:tcPr>
          <w:p w14:paraId="38A10F35" w14:textId="76F06BD4" w:rsidR="00681013" w:rsidRPr="009109DE" w:rsidRDefault="008A53BB" w:rsidP="009109DE">
            <w:pPr>
              <w:jc w:val="center"/>
              <w:rPr>
                <w:sz w:val="16"/>
                <w:szCs w:val="16"/>
                <w:lang w:eastAsia="es-ES"/>
              </w:rPr>
            </w:pPr>
            <w:r>
              <w:rPr>
                <w:sz w:val="16"/>
                <w:szCs w:val="16"/>
                <w:lang w:eastAsia="es-ES"/>
              </w:rPr>
              <w:t>18.880</w:t>
            </w:r>
          </w:p>
        </w:tc>
        <w:tc>
          <w:tcPr>
            <w:tcW w:w="335" w:type="dxa"/>
            <w:tcBorders>
              <w:top w:val="nil"/>
              <w:left w:val="nil"/>
              <w:bottom w:val="nil"/>
              <w:right w:val="nil"/>
            </w:tcBorders>
            <w:shd w:val="clear" w:color="auto" w:fill="auto"/>
            <w:noWrap/>
            <w:vAlign w:val="bottom"/>
            <w:hideMark/>
          </w:tcPr>
          <w:p w14:paraId="15D137A7"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000000" w:fill="FFFFFF"/>
            <w:noWrap/>
            <w:vAlign w:val="bottom"/>
            <w:hideMark/>
          </w:tcPr>
          <w:p w14:paraId="1650BB84" w14:textId="61FF1534" w:rsidR="00681013" w:rsidRPr="009109DE" w:rsidRDefault="008A53BB" w:rsidP="009109DE">
            <w:pPr>
              <w:jc w:val="center"/>
              <w:rPr>
                <w:sz w:val="16"/>
                <w:szCs w:val="16"/>
                <w:lang w:eastAsia="es-ES"/>
              </w:rPr>
            </w:pPr>
            <w:r>
              <w:rPr>
                <w:sz w:val="16"/>
                <w:szCs w:val="16"/>
                <w:lang w:eastAsia="es-ES"/>
              </w:rPr>
              <w:t>2.146</w:t>
            </w:r>
          </w:p>
        </w:tc>
        <w:tc>
          <w:tcPr>
            <w:tcW w:w="154" w:type="dxa"/>
            <w:tcBorders>
              <w:top w:val="nil"/>
              <w:left w:val="nil"/>
              <w:bottom w:val="nil"/>
              <w:right w:val="nil"/>
            </w:tcBorders>
            <w:shd w:val="clear" w:color="auto" w:fill="auto"/>
            <w:noWrap/>
            <w:vAlign w:val="bottom"/>
            <w:hideMark/>
          </w:tcPr>
          <w:p w14:paraId="3236731F" w14:textId="77777777" w:rsidR="00681013" w:rsidRPr="009109DE" w:rsidRDefault="00681013" w:rsidP="009109DE">
            <w:pPr>
              <w:jc w:val="center"/>
              <w:rPr>
                <w:sz w:val="16"/>
                <w:szCs w:val="16"/>
                <w:lang w:eastAsia="es-ES"/>
              </w:rPr>
            </w:pPr>
          </w:p>
        </w:tc>
        <w:tc>
          <w:tcPr>
            <w:tcW w:w="1249" w:type="dxa"/>
            <w:tcBorders>
              <w:top w:val="nil"/>
              <w:left w:val="nil"/>
              <w:bottom w:val="nil"/>
              <w:right w:val="nil"/>
            </w:tcBorders>
            <w:shd w:val="clear" w:color="auto" w:fill="auto"/>
            <w:noWrap/>
            <w:vAlign w:val="bottom"/>
            <w:hideMark/>
          </w:tcPr>
          <w:p w14:paraId="6DEB40A1" w14:textId="42DA505E" w:rsidR="00681013" w:rsidRPr="009109DE" w:rsidRDefault="00681013" w:rsidP="009109DE">
            <w:pPr>
              <w:jc w:val="center"/>
              <w:rPr>
                <w:sz w:val="16"/>
                <w:szCs w:val="16"/>
                <w:lang w:eastAsia="es-ES"/>
              </w:rPr>
            </w:pPr>
            <w:r w:rsidRPr="009109DE">
              <w:rPr>
                <w:sz w:val="16"/>
                <w:szCs w:val="16"/>
                <w:lang w:eastAsia="es-ES"/>
              </w:rPr>
              <w:t>-</w:t>
            </w:r>
            <w:r w:rsidR="008A53BB">
              <w:rPr>
                <w:sz w:val="16"/>
                <w:szCs w:val="16"/>
                <w:lang w:eastAsia="es-ES"/>
              </w:rPr>
              <w:t>16.734</w:t>
            </w:r>
          </w:p>
        </w:tc>
        <w:tc>
          <w:tcPr>
            <w:tcW w:w="169" w:type="dxa"/>
            <w:tcBorders>
              <w:top w:val="nil"/>
              <w:left w:val="nil"/>
              <w:bottom w:val="nil"/>
              <w:right w:val="nil"/>
            </w:tcBorders>
            <w:shd w:val="clear" w:color="auto" w:fill="auto"/>
            <w:noWrap/>
            <w:vAlign w:val="bottom"/>
            <w:hideMark/>
          </w:tcPr>
          <w:p w14:paraId="751B4E8E" w14:textId="77777777" w:rsidR="00681013" w:rsidRPr="009109DE" w:rsidRDefault="00681013" w:rsidP="009109DE">
            <w:pPr>
              <w:jc w:val="center"/>
              <w:rPr>
                <w:sz w:val="16"/>
                <w:szCs w:val="16"/>
                <w:lang w:eastAsia="es-ES"/>
              </w:rPr>
            </w:pPr>
          </w:p>
        </w:tc>
        <w:tc>
          <w:tcPr>
            <w:tcW w:w="847" w:type="dxa"/>
            <w:tcBorders>
              <w:top w:val="nil"/>
              <w:left w:val="nil"/>
              <w:bottom w:val="nil"/>
              <w:right w:val="nil"/>
            </w:tcBorders>
            <w:shd w:val="clear" w:color="auto" w:fill="auto"/>
            <w:noWrap/>
            <w:vAlign w:val="bottom"/>
            <w:hideMark/>
          </w:tcPr>
          <w:p w14:paraId="33A19758" w14:textId="562ED97B" w:rsidR="00681013" w:rsidRPr="009109DE" w:rsidRDefault="00681013" w:rsidP="009109DE">
            <w:pPr>
              <w:jc w:val="center"/>
              <w:rPr>
                <w:sz w:val="16"/>
                <w:szCs w:val="16"/>
                <w:lang w:eastAsia="es-ES"/>
              </w:rPr>
            </w:pPr>
            <w:r w:rsidRPr="009109DE">
              <w:rPr>
                <w:sz w:val="16"/>
                <w:szCs w:val="16"/>
                <w:lang w:eastAsia="es-ES"/>
              </w:rPr>
              <w:t>-</w:t>
            </w:r>
            <w:r w:rsidR="008A53BB">
              <w:rPr>
                <w:sz w:val="16"/>
                <w:szCs w:val="16"/>
                <w:lang w:eastAsia="es-ES"/>
              </w:rPr>
              <w:t>89</w:t>
            </w:r>
            <w:r w:rsidRPr="009109DE">
              <w:rPr>
                <w:sz w:val="16"/>
                <w:szCs w:val="16"/>
                <w:lang w:eastAsia="es-ES"/>
              </w:rPr>
              <w:t>%</w:t>
            </w:r>
          </w:p>
        </w:tc>
      </w:tr>
      <w:tr w:rsidR="00681013" w:rsidRPr="009109DE" w14:paraId="120C2C74" w14:textId="77777777" w:rsidTr="009109DE">
        <w:trPr>
          <w:trHeight w:val="296"/>
        </w:trPr>
        <w:tc>
          <w:tcPr>
            <w:tcW w:w="3847" w:type="dxa"/>
            <w:gridSpan w:val="2"/>
            <w:tcBorders>
              <w:top w:val="nil"/>
              <w:left w:val="nil"/>
              <w:bottom w:val="nil"/>
              <w:right w:val="nil"/>
            </w:tcBorders>
            <w:shd w:val="clear" w:color="000000" w:fill="F2F2F2"/>
            <w:noWrap/>
            <w:vAlign w:val="bottom"/>
            <w:hideMark/>
          </w:tcPr>
          <w:p w14:paraId="5148DFC0" w14:textId="77777777" w:rsidR="00681013" w:rsidRPr="009109DE" w:rsidRDefault="00681013" w:rsidP="00084399">
            <w:pPr>
              <w:rPr>
                <w:sz w:val="16"/>
                <w:szCs w:val="16"/>
                <w:lang w:eastAsia="es-ES"/>
              </w:rPr>
            </w:pPr>
            <w:r w:rsidRPr="009109DE">
              <w:rPr>
                <w:sz w:val="16"/>
                <w:szCs w:val="16"/>
                <w:lang w:eastAsia="es-ES"/>
              </w:rPr>
              <w:t>Patrimonio Neto</w:t>
            </w:r>
          </w:p>
        </w:tc>
        <w:tc>
          <w:tcPr>
            <w:tcW w:w="1093" w:type="dxa"/>
            <w:tcBorders>
              <w:top w:val="nil"/>
              <w:left w:val="nil"/>
              <w:bottom w:val="nil"/>
              <w:right w:val="nil"/>
            </w:tcBorders>
            <w:shd w:val="clear" w:color="000000" w:fill="F2F2F2"/>
            <w:noWrap/>
            <w:vAlign w:val="bottom"/>
            <w:hideMark/>
          </w:tcPr>
          <w:p w14:paraId="73BC98FF" w14:textId="6C488EFA" w:rsidR="00681013" w:rsidRPr="009109DE" w:rsidRDefault="008A53BB" w:rsidP="009109DE">
            <w:pPr>
              <w:jc w:val="center"/>
              <w:rPr>
                <w:sz w:val="16"/>
                <w:szCs w:val="16"/>
                <w:lang w:eastAsia="es-ES"/>
              </w:rPr>
            </w:pPr>
            <w:r>
              <w:rPr>
                <w:sz w:val="16"/>
                <w:szCs w:val="16"/>
                <w:lang w:eastAsia="es-ES"/>
              </w:rPr>
              <w:t>7.153.412</w:t>
            </w:r>
          </w:p>
        </w:tc>
        <w:tc>
          <w:tcPr>
            <w:tcW w:w="335" w:type="dxa"/>
            <w:tcBorders>
              <w:top w:val="nil"/>
              <w:left w:val="nil"/>
              <w:bottom w:val="nil"/>
              <w:right w:val="nil"/>
            </w:tcBorders>
            <w:shd w:val="clear" w:color="auto" w:fill="auto"/>
            <w:noWrap/>
            <w:vAlign w:val="bottom"/>
            <w:hideMark/>
          </w:tcPr>
          <w:p w14:paraId="25465D15"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000000" w:fill="F2F2F2"/>
            <w:noWrap/>
            <w:vAlign w:val="bottom"/>
            <w:hideMark/>
          </w:tcPr>
          <w:p w14:paraId="176DBE95" w14:textId="4668A76D" w:rsidR="00681013" w:rsidRPr="009109DE" w:rsidRDefault="008A53BB" w:rsidP="009109DE">
            <w:pPr>
              <w:jc w:val="center"/>
              <w:rPr>
                <w:sz w:val="16"/>
                <w:szCs w:val="16"/>
                <w:lang w:eastAsia="es-ES"/>
              </w:rPr>
            </w:pPr>
            <w:r>
              <w:rPr>
                <w:sz w:val="16"/>
                <w:szCs w:val="16"/>
                <w:lang w:eastAsia="es-ES"/>
              </w:rPr>
              <w:t>6.815.951</w:t>
            </w:r>
          </w:p>
        </w:tc>
        <w:tc>
          <w:tcPr>
            <w:tcW w:w="154" w:type="dxa"/>
            <w:tcBorders>
              <w:top w:val="nil"/>
              <w:left w:val="nil"/>
              <w:bottom w:val="nil"/>
              <w:right w:val="nil"/>
            </w:tcBorders>
            <w:shd w:val="clear" w:color="auto" w:fill="auto"/>
            <w:noWrap/>
            <w:vAlign w:val="bottom"/>
            <w:hideMark/>
          </w:tcPr>
          <w:p w14:paraId="68350656" w14:textId="77777777" w:rsidR="00681013" w:rsidRPr="009109DE" w:rsidRDefault="00681013" w:rsidP="009109DE">
            <w:pPr>
              <w:jc w:val="center"/>
              <w:rPr>
                <w:sz w:val="16"/>
                <w:szCs w:val="16"/>
                <w:lang w:eastAsia="es-ES"/>
              </w:rPr>
            </w:pPr>
          </w:p>
        </w:tc>
        <w:tc>
          <w:tcPr>
            <w:tcW w:w="1249" w:type="dxa"/>
            <w:tcBorders>
              <w:top w:val="nil"/>
              <w:left w:val="nil"/>
              <w:bottom w:val="nil"/>
              <w:right w:val="nil"/>
            </w:tcBorders>
            <w:shd w:val="clear" w:color="000000" w:fill="F2F2F2"/>
            <w:noWrap/>
            <w:vAlign w:val="bottom"/>
            <w:hideMark/>
          </w:tcPr>
          <w:p w14:paraId="5540F186" w14:textId="3CFFA775" w:rsidR="00681013" w:rsidRPr="009109DE" w:rsidRDefault="008A53BB" w:rsidP="009109DE">
            <w:pPr>
              <w:jc w:val="center"/>
              <w:rPr>
                <w:sz w:val="16"/>
                <w:szCs w:val="16"/>
                <w:lang w:eastAsia="es-ES"/>
              </w:rPr>
            </w:pPr>
            <w:r>
              <w:rPr>
                <w:sz w:val="16"/>
                <w:szCs w:val="16"/>
                <w:lang w:eastAsia="es-ES"/>
              </w:rPr>
              <w:t>-337.641</w:t>
            </w:r>
          </w:p>
        </w:tc>
        <w:tc>
          <w:tcPr>
            <w:tcW w:w="169" w:type="dxa"/>
            <w:tcBorders>
              <w:top w:val="nil"/>
              <w:left w:val="nil"/>
              <w:bottom w:val="nil"/>
              <w:right w:val="nil"/>
            </w:tcBorders>
            <w:shd w:val="clear" w:color="auto" w:fill="auto"/>
            <w:noWrap/>
            <w:vAlign w:val="bottom"/>
            <w:hideMark/>
          </w:tcPr>
          <w:p w14:paraId="377E8B2E" w14:textId="77777777" w:rsidR="00681013" w:rsidRPr="009109DE" w:rsidRDefault="00681013" w:rsidP="009109DE">
            <w:pPr>
              <w:jc w:val="center"/>
              <w:rPr>
                <w:sz w:val="16"/>
                <w:szCs w:val="16"/>
                <w:lang w:eastAsia="es-ES"/>
              </w:rPr>
            </w:pPr>
          </w:p>
        </w:tc>
        <w:tc>
          <w:tcPr>
            <w:tcW w:w="847" w:type="dxa"/>
            <w:tcBorders>
              <w:top w:val="nil"/>
              <w:left w:val="nil"/>
              <w:bottom w:val="nil"/>
              <w:right w:val="nil"/>
            </w:tcBorders>
            <w:shd w:val="clear" w:color="000000" w:fill="F2F2F2"/>
            <w:noWrap/>
            <w:vAlign w:val="bottom"/>
            <w:hideMark/>
          </w:tcPr>
          <w:p w14:paraId="0CAE33F6" w14:textId="6922197C" w:rsidR="00681013" w:rsidRPr="009109DE" w:rsidRDefault="008A53BB" w:rsidP="009109DE">
            <w:pPr>
              <w:jc w:val="center"/>
              <w:rPr>
                <w:sz w:val="16"/>
                <w:szCs w:val="16"/>
                <w:lang w:eastAsia="es-ES"/>
              </w:rPr>
            </w:pPr>
            <w:r>
              <w:rPr>
                <w:sz w:val="16"/>
                <w:szCs w:val="16"/>
                <w:lang w:eastAsia="es-ES"/>
              </w:rPr>
              <w:t>-5</w:t>
            </w:r>
            <w:r w:rsidR="00681013" w:rsidRPr="009109DE">
              <w:rPr>
                <w:sz w:val="16"/>
                <w:szCs w:val="16"/>
                <w:lang w:eastAsia="es-ES"/>
              </w:rPr>
              <w:t>%</w:t>
            </w:r>
          </w:p>
        </w:tc>
      </w:tr>
      <w:tr w:rsidR="00681013" w:rsidRPr="009109DE" w14:paraId="42269E91" w14:textId="77777777" w:rsidTr="009109DE">
        <w:trPr>
          <w:trHeight w:val="296"/>
        </w:trPr>
        <w:tc>
          <w:tcPr>
            <w:tcW w:w="3847" w:type="dxa"/>
            <w:gridSpan w:val="2"/>
            <w:tcBorders>
              <w:top w:val="nil"/>
              <w:left w:val="nil"/>
              <w:bottom w:val="nil"/>
              <w:right w:val="nil"/>
            </w:tcBorders>
            <w:shd w:val="clear" w:color="auto" w:fill="auto"/>
            <w:noWrap/>
            <w:vAlign w:val="bottom"/>
            <w:hideMark/>
          </w:tcPr>
          <w:p w14:paraId="78120793" w14:textId="77777777" w:rsidR="00681013" w:rsidRPr="009109DE" w:rsidRDefault="00681013" w:rsidP="00084399">
            <w:pPr>
              <w:rPr>
                <w:sz w:val="16"/>
                <w:szCs w:val="16"/>
                <w:lang w:eastAsia="es-ES"/>
              </w:rPr>
            </w:pPr>
            <w:r w:rsidRPr="009109DE">
              <w:rPr>
                <w:sz w:val="16"/>
                <w:szCs w:val="16"/>
                <w:lang w:eastAsia="es-ES"/>
              </w:rPr>
              <w:t>Administraciones públicas</w:t>
            </w:r>
          </w:p>
        </w:tc>
        <w:tc>
          <w:tcPr>
            <w:tcW w:w="1093" w:type="dxa"/>
            <w:tcBorders>
              <w:top w:val="nil"/>
              <w:left w:val="nil"/>
              <w:bottom w:val="nil"/>
              <w:right w:val="nil"/>
            </w:tcBorders>
            <w:shd w:val="clear" w:color="auto" w:fill="auto"/>
            <w:noWrap/>
            <w:vAlign w:val="bottom"/>
            <w:hideMark/>
          </w:tcPr>
          <w:p w14:paraId="66B97D66" w14:textId="6DCF875B" w:rsidR="00681013" w:rsidRPr="009109DE" w:rsidRDefault="008A53BB" w:rsidP="009109DE">
            <w:pPr>
              <w:jc w:val="center"/>
              <w:rPr>
                <w:sz w:val="16"/>
                <w:szCs w:val="16"/>
                <w:lang w:eastAsia="es-ES"/>
              </w:rPr>
            </w:pPr>
            <w:r>
              <w:rPr>
                <w:sz w:val="16"/>
                <w:szCs w:val="16"/>
                <w:lang w:eastAsia="es-ES"/>
              </w:rPr>
              <w:t>164.623</w:t>
            </w:r>
          </w:p>
        </w:tc>
        <w:tc>
          <w:tcPr>
            <w:tcW w:w="335" w:type="dxa"/>
            <w:tcBorders>
              <w:top w:val="nil"/>
              <w:left w:val="nil"/>
              <w:bottom w:val="nil"/>
              <w:right w:val="nil"/>
            </w:tcBorders>
            <w:shd w:val="clear" w:color="auto" w:fill="auto"/>
            <w:noWrap/>
            <w:vAlign w:val="bottom"/>
            <w:hideMark/>
          </w:tcPr>
          <w:p w14:paraId="750C9A94"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000000" w:fill="FFFFFF"/>
            <w:noWrap/>
            <w:vAlign w:val="bottom"/>
            <w:hideMark/>
          </w:tcPr>
          <w:p w14:paraId="7F930883" w14:textId="7D30BFA2" w:rsidR="00681013" w:rsidRPr="009109DE" w:rsidRDefault="008A53BB" w:rsidP="009109DE">
            <w:pPr>
              <w:jc w:val="center"/>
              <w:rPr>
                <w:sz w:val="16"/>
                <w:szCs w:val="16"/>
                <w:lang w:eastAsia="es-ES"/>
              </w:rPr>
            </w:pPr>
            <w:r>
              <w:rPr>
                <w:sz w:val="16"/>
                <w:szCs w:val="16"/>
                <w:lang w:eastAsia="es-ES"/>
              </w:rPr>
              <w:t>166.706</w:t>
            </w:r>
          </w:p>
        </w:tc>
        <w:tc>
          <w:tcPr>
            <w:tcW w:w="154" w:type="dxa"/>
            <w:tcBorders>
              <w:top w:val="nil"/>
              <w:left w:val="nil"/>
              <w:bottom w:val="nil"/>
              <w:right w:val="nil"/>
            </w:tcBorders>
            <w:shd w:val="clear" w:color="auto" w:fill="auto"/>
            <w:noWrap/>
            <w:vAlign w:val="bottom"/>
            <w:hideMark/>
          </w:tcPr>
          <w:p w14:paraId="46BA8765" w14:textId="77777777" w:rsidR="00681013" w:rsidRPr="009109DE" w:rsidRDefault="00681013" w:rsidP="009109DE">
            <w:pPr>
              <w:jc w:val="center"/>
              <w:rPr>
                <w:sz w:val="16"/>
                <w:szCs w:val="16"/>
                <w:lang w:eastAsia="es-ES"/>
              </w:rPr>
            </w:pPr>
          </w:p>
        </w:tc>
        <w:tc>
          <w:tcPr>
            <w:tcW w:w="1249" w:type="dxa"/>
            <w:tcBorders>
              <w:top w:val="nil"/>
              <w:left w:val="nil"/>
              <w:bottom w:val="nil"/>
              <w:right w:val="nil"/>
            </w:tcBorders>
            <w:shd w:val="clear" w:color="auto" w:fill="auto"/>
            <w:noWrap/>
            <w:vAlign w:val="bottom"/>
            <w:hideMark/>
          </w:tcPr>
          <w:p w14:paraId="7CE906A1" w14:textId="5FF10925" w:rsidR="00681013" w:rsidRPr="009109DE" w:rsidRDefault="008A53BB" w:rsidP="009109DE">
            <w:pPr>
              <w:jc w:val="center"/>
              <w:rPr>
                <w:sz w:val="16"/>
                <w:szCs w:val="16"/>
                <w:lang w:eastAsia="es-ES"/>
              </w:rPr>
            </w:pPr>
            <w:r>
              <w:rPr>
                <w:sz w:val="16"/>
                <w:szCs w:val="16"/>
                <w:lang w:eastAsia="es-ES"/>
              </w:rPr>
              <w:t>2.083</w:t>
            </w:r>
          </w:p>
        </w:tc>
        <w:tc>
          <w:tcPr>
            <w:tcW w:w="169" w:type="dxa"/>
            <w:tcBorders>
              <w:top w:val="nil"/>
              <w:left w:val="nil"/>
              <w:bottom w:val="nil"/>
              <w:right w:val="nil"/>
            </w:tcBorders>
            <w:shd w:val="clear" w:color="auto" w:fill="auto"/>
            <w:noWrap/>
            <w:vAlign w:val="bottom"/>
            <w:hideMark/>
          </w:tcPr>
          <w:p w14:paraId="12B03FA2" w14:textId="77777777" w:rsidR="00681013" w:rsidRPr="009109DE" w:rsidRDefault="00681013" w:rsidP="009109DE">
            <w:pPr>
              <w:jc w:val="center"/>
              <w:rPr>
                <w:sz w:val="16"/>
                <w:szCs w:val="16"/>
                <w:lang w:eastAsia="es-ES"/>
              </w:rPr>
            </w:pPr>
          </w:p>
        </w:tc>
        <w:tc>
          <w:tcPr>
            <w:tcW w:w="847" w:type="dxa"/>
            <w:tcBorders>
              <w:top w:val="nil"/>
              <w:left w:val="nil"/>
              <w:bottom w:val="nil"/>
              <w:right w:val="nil"/>
            </w:tcBorders>
            <w:shd w:val="clear" w:color="auto" w:fill="auto"/>
            <w:noWrap/>
            <w:vAlign w:val="bottom"/>
            <w:hideMark/>
          </w:tcPr>
          <w:p w14:paraId="0E85E81F" w14:textId="2EF08C8E" w:rsidR="00681013" w:rsidRPr="009109DE" w:rsidRDefault="008A53BB" w:rsidP="009109DE">
            <w:pPr>
              <w:jc w:val="center"/>
              <w:rPr>
                <w:sz w:val="16"/>
                <w:szCs w:val="16"/>
                <w:lang w:eastAsia="es-ES"/>
              </w:rPr>
            </w:pPr>
            <w:r>
              <w:rPr>
                <w:sz w:val="16"/>
                <w:szCs w:val="16"/>
                <w:lang w:eastAsia="es-ES"/>
              </w:rPr>
              <w:t>1</w:t>
            </w:r>
            <w:r w:rsidR="00681013" w:rsidRPr="009109DE">
              <w:rPr>
                <w:sz w:val="16"/>
                <w:szCs w:val="16"/>
                <w:lang w:eastAsia="es-ES"/>
              </w:rPr>
              <w:t>%</w:t>
            </w:r>
          </w:p>
        </w:tc>
      </w:tr>
      <w:tr w:rsidR="00681013" w:rsidRPr="009109DE" w14:paraId="313C9A61" w14:textId="77777777" w:rsidTr="009109DE">
        <w:trPr>
          <w:trHeight w:val="296"/>
        </w:trPr>
        <w:tc>
          <w:tcPr>
            <w:tcW w:w="3847" w:type="dxa"/>
            <w:gridSpan w:val="2"/>
            <w:tcBorders>
              <w:top w:val="nil"/>
              <w:left w:val="nil"/>
              <w:bottom w:val="nil"/>
              <w:right w:val="nil"/>
            </w:tcBorders>
            <w:shd w:val="clear" w:color="auto" w:fill="auto"/>
            <w:noWrap/>
            <w:vAlign w:val="bottom"/>
            <w:hideMark/>
          </w:tcPr>
          <w:p w14:paraId="5E9DE815" w14:textId="77777777" w:rsidR="00681013" w:rsidRPr="009109DE" w:rsidRDefault="00681013" w:rsidP="00084399">
            <w:pPr>
              <w:rPr>
                <w:sz w:val="16"/>
                <w:szCs w:val="16"/>
                <w:lang w:eastAsia="es-ES"/>
              </w:rPr>
            </w:pPr>
            <w:r w:rsidRPr="009109DE">
              <w:rPr>
                <w:sz w:val="16"/>
                <w:szCs w:val="16"/>
                <w:lang w:eastAsia="es-ES"/>
              </w:rPr>
              <w:t>Proveedores y otras cuentas a pagar</w:t>
            </w:r>
          </w:p>
        </w:tc>
        <w:tc>
          <w:tcPr>
            <w:tcW w:w="1093" w:type="dxa"/>
            <w:tcBorders>
              <w:top w:val="nil"/>
              <w:left w:val="nil"/>
              <w:bottom w:val="nil"/>
              <w:right w:val="nil"/>
            </w:tcBorders>
            <w:shd w:val="clear" w:color="auto" w:fill="auto"/>
            <w:noWrap/>
            <w:vAlign w:val="bottom"/>
            <w:hideMark/>
          </w:tcPr>
          <w:p w14:paraId="6ADD4B70" w14:textId="704F3B64" w:rsidR="00681013" w:rsidRPr="009109DE" w:rsidRDefault="00E66FA4" w:rsidP="009109DE">
            <w:pPr>
              <w:jc w:val="center"/>
              <w:rPr>
                <w:sz w:val="16"/>
                <w:szCs w:val="16"/>
                <w:lang w:eastAsia="es-ES"/>
              </w:rPr>
            </w:pPr>
            <w:r>
              <w:rPr>
                <w:sz w:val="16"/>
                <w:szCs w:val="16"/>
                <w:lang w:eastAsia="es-ES"/>
              </w:rPr>
              <w:t>2.373.122</w:t>
            </w:r>
          </w:p>
        </w:tc>
        <w:tc>
          <w:tcPr>
            <w:tcW w:w="335" w:type="dxa"/>
            <w:tcBorders>
              <w:top w:val="nil"/>
              <w:left w:val="nil"/>
              <w:bottom w:val="nil"/>
              <w:right w:val="nil"/>
            </w:tcBorders>
            <w:shd w:val="clear" w:color="auto" w:fill="auto"/>
            <w:noWrap/>
            <w:vAlign w:val="bottom"/>
            <w:hideMark/>
          </w:tcPr>
          <w:p w14:paraId="46A3F169"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000000" w:fill="FFFFFF"/>
            <w:noWrap/>
            <w:vAlign w:val="bottom"/>
            <w:hideMark/>
          </w:tcPr>
          <w:p w14:paraId="1A712E60" w14:textId="75A5E96E" w:rsidR="00681013" w:rsidRPr="009109DE" w:rsidRDefault="00E66FA4" w:rsidP="009109DE">
            <w:pPr>
              <w:jc w:val="center"/>
              <w:rPr>
                <w:sz w:val="16"/>
                <w:szCs w:val="16"/>
                <w:lang w:eastAsia="es-ES"/>
              </w:rPr>
            </w:pPr>
            <w:r>
              <w:rPr>
                <w:sz w:val="16"/>
                <w:szCs w:val="16"/>
                <w:lang w:eastAsia="es-ES"/>
              </w:rPr>
              <w:t>9</w:t>
            </w:r>
            <w:r w:rsidR="00A706F5">
              <w:rPr>
                <w:sz w:val="16"/>
                <w:szCs w:val="16"/>
                <w:lang w:eastAsia="es-ES"/>
              </w:rPr>
              <w:t>51</w:t>
            </w:r>
            <w:r>
              <w:rPr>
                <w:sz w:val="16"/>
                <w:szCs w:val="16"/>
                <w:lang w:eastAsia="es-ES"/>
              </w:rPr>
              <w:t>.2</w:t>
            </w:r>
            <w:r w:rsidR="00A706F5">
              <w:rPr>
                <w:sz w:val="16"/>
                <w:szCs w:val="16"/>
                <w:lang w:eastAsia="es-ES"/>
              </w:rPr>
              <w:t>3</w:t>
            </w:r>
            <w:r>
              <w:rPr>
                <w:sz w:val="16"/>
                <w:szCs w:val="16"/>
                <w:lang w:eastAsia="es-ES"/>
              </w:rPr>
              <w:t>0</w:t>
            </w:r>
          </w:p>
        </w:tc>
        <w:tc>
          <w:tcPr>
            <w:tcW w:w="154" w:type="dxa"/>
            <w:tcBorders>
              <w:top w:val="nil"/>
              <w:left w:val="nil"/>
              <w:bottom w:val="nil"/>
              <w:right w:val="nil"/>
            </w:tcBorders>
            <w:shd w:val="clear" w:color="auto" w:fill="auto"/>
            <w:noWrap/>
            <w:vAlign w:val="bottom"/>
            <w:hideMark/>
          </w:tcPr>
          <w:p w14:paraId="030CDB91" w14:textId="77777777" w:rsidR="00681013" w:rsidRPr="009109DE" w:rsidRDefault="00681013" w:rsidP="009109DE">
            <w:pPr>
              <w:jc w:val="center"/>
              <w:rPr>
                <w:sz w:val="16"/>
                <w:szCs w:val="16"/>
                <w:lang w:eastAsia="es-ES"/>
              </w:rPr>
            </w:pPr>
          </w:p>
        </w:tc>
        <w:tc>
          <w:tcPr>
            <w:tcW w:w="1249" w:type="dxa"/>
            <w:tcBorders>
              <w:top w:val="nil"/>
              <w:left w:val="nil"/>
              <w:bottom w:val="nil"/>
              <w:right w:val="nil"/>
            </w:tcBorders>
            <w:shd w:val="clear" w:color="auto" w:fill="auto"/>
            <w:noWrap/>
            <w:vAlign w:val="bottom"/>
            <w:hideMark/>
          </w:tcPr>
          <w:p w14:paraId="1F4FF01E" w14:textId="7E0722A5" w:rsidR="00681013" w:rsidRPr="009109DE" w:rsidRDefault="00681013" w:rsidP="009109DE">
            <w:pPr>
              <w:jc w:val="center"/>
              <w:rPr>
                <w:sz w:val="16"/>
                <w:szCs w:val="16"/>
                <w:lang w:eastAsia="es-ES"/>
              </w:rPr>
            </w:pPr>
            <w:r w:rsidRPr="009109DE">
              <w:rPr>
                <w:sz w:val="16"/>
                <w:szCs w:val="16"/>
                <w:lang w:eastAsia="es-ES"/>
              </w:rPr>
              <w:t>-</w:t>
            </w:r>
            <w:r w:rsidR="00E66FA4">
              <w:rPr>
                <w:sz w:val="16"/>
                <w:szCs w:val="16"/>
                <w:lang w:eastAsia="es-ES"/>
              </w:rPr>
              <w:t>1.4</w:t>
            </w:r>
            <w:r w:rsidR="00A706F5">
              <w:rPr>
                <w:sz w:val="16"/>
                <w:szCs w:val="16"/>
                <w:lang w:eastAsia="es-ES"/>
              </w:rPr>
              <w:t>21</w:t>
            </w:r>
            <w:r w:rsidR="00E66FA4">
              <w:rPr>
                <w:sz w:val="16"/>
                <w:szCs w:val="16"/>
                <w:lang w:eastAsia="es-ES"/>
              </w:rPr>
              <w:t>.8</w:t>
            </w:r>
            <w:r w:rsidR="00A706F5">
              <w:rPr>
                <w:sz w:val="16"/>
                <w:szCs w:val="16"/>
                <w:lang w:eastAsia="es-ES"/>
              </w:rPr>
              <w:t>9</w:t>
            </w:r>
            <w:r w:rsidR="00E66FA4">
              <w:rPr>
                <w:sz w:val="16"/>
                <w:szCs w:val="16"/>
                <w:lang w:eastAsia="es-ES"/>
              </w:rPr>
              <w:t>2</w:t>
            </w:r>
          </w:p>
        </w:tc>
        <w:tc>
          <w:tcPr>
            <w:tcW w:w="169" w:type="dxa"/>
            <w:tcBorders>
              <w:top w:val="nil"/>
              <w:left w:val="nil"/>
              <w:bottom w:val="nil"/>
              <w:right w:val="nil"/>
            </w:tcBorders>
            <w:shd w:val="clear" w:color="auto" w:fill="auto"/>
            <w:noWrap/>
            <w:vAlign w:val="bottom"/>
            <w:hideMark/>
          </w:tcPr>
          <w:p w14:paraId="58BB6958" w14:textId="77777777" w:rsidR="00681013" w:rsidRPr="009109DE" w:rsidRDefault="00681013" w:rsidP="009109DE">
            <w:pPr>
              <w:jc w:val="center"/>
              <w:rPr>
                <w:sz w:val="16"/>
                <w:szCs w:val="16"/>
                <w:lang w:eastAsia="es-ES"/>
              </w:rPr>
            </w:pPr>
          </w:p>
        </w:tc>
        <w:tc>
          <w:tcPr>
            <w:tcW w:w="847" w:type="dxa"/>
            <w:tcBorders>
              <w:top w:val="nil"/>
              <w:left w:val="nil"/>
              <w:bottom w:val="nil"/>
              <w:right w:val="nil"/>
            </w:tcBorders>
            <w:shd w:val="clear" w:color="auto" w:fill="auto"/>
            <w:noWrap/>
            <w:vAlign w:val="bottom"/>
            <w:hideMark/>
          </w:tcPr>
          <w:p w14:paraId="28C53986" w14:textId="77777777" w:rsidR="00681013" w:rsidRPr="009109DE" w:rsidRDefault="00681013" w:rsidP="009109DE">
            <w:pPr>
              <w:jc w:val="center"/>
              <w:rPr>
                <w:sz w:val="16"/>
                <w:szCs w:val="16"/>
                <w:lang w:eastAsia="es-ES"/>
              </w:rPr>
            </w:pPr>
            <w:r w:rsidRPr="009109DE">
              <w:rPr>
                <w:sz w:val="16"/>
                <w:szCs w:val="16"/>
                <w:lang w:eastAsia="es-ES"/>
              </w:rPr>
              <w:t>-60%</w:t>
            </w:r>
          </w:p>
        </w:tc>
      </w:tr>
      <w:tr w:rsidR="00681013" w:rsidRPr="009109DE" w14:paraId="659D72EB" w14:textId="77777777" w:rsidTr="009109DE">
        <w:trPr>
          <w:trHeight w:val="296"/>
        </w:trPr>
        <w:tc>
          <w:tcPr>
            <w:tcW w:w="3847" w:type="dxa"/>
            <w:gridSpan w:val="2"/>
            <w:tcBorders>
              <w:top w:val="nil"/>
              <w:left w:val="nil"/>
              <w:bottom w:val="nil"/>
              <w:right w:val="nil"/>
            </w:tcBorders>
            <w:shd w:val="clear" w:color="auto" w:fill="auto"/>
            <w:noWrap/>
            <w:vAlign w:val="bottom"/>
            <w:hideMark/>
          </w:tcPr>
          <w:p w14:paraId="7CFB46C3" w14:textId="7DB005D8" w:rsidR="00681013" w:rsidRPr="009109DE" w:rsidRDefault="00A96563" w:rsidP="00084399">
            <w:pPr>
              <w:rPr>
                <w:sz w:val="16"/>
                <w:szCs w:val="16"/>
                <w:lang w:eastAsia="es-ES"/>
              </w:rPr>
            </w:pPr>
            <w:r>
              <w:rPr>
                <w:sz w:val="16"/>
                <w:szCs w:val="16"/>
                <w:lang w:eastAsia="es-ES"/>
              </w:rPr>
              <w:t>Deudas a corto plazo</w:t>
            </w:r>
          </w:p>
        </w:tc>
        <w:tc>
          <w:tcPr>
            <w:tcW w:w="1093" w:type="dxa"/>
            <w:tcBorders>
              <w:top w:val="nil"/>
              <w:left w:val="nil"/>
              <w:bottom w:val="nil"/>
              <w:right w:val="nil"/>
            </w:tcBorders>
            <w:shd w:val="clear" w:color="auto" w:fill="auto"/>
            <w:noWrap/>
            <w:vAlign w:val="bottom"/>
            <w:hideMark/>
          </w:tcPr>
          <w:p w14:paraId="4ED6AAA3" w14:textId="70BAD581" w:rsidR="00681013" w:rsidRPr="009109DE" w:rsidRDefault="00E66FA4" w:rsidP="009109DE">
            <w:pPr>
              <w:jc w:val="center"/>
              <w:rPr>
                <w:sz w:val="16"/>
                <w:szCs w:val="16"/>
                <w:lang w:eastAsia="es-ES"/>
              </w:rPr>
            </w:pPr>
            <w:r>
              <w:rPr>
                <w:sz w:val="16"/>
                <w:szCs w:val="16"/>
                <w:lang w:eastAsia="es-ES"/>
              </w:rPr>
              <w:t>1.725.902</w:t>
            </w:r>
          </w:p>
        </w:tc>
        <w:tc>
          <w:tcPr>
            <w:tcW w:w="335" w:type="dxa"/>
            <w:tcBorders>
              <w:top w:val="nil"/>
              <w:left w:val="nil"/>
              <w:bottom w:val="nil"/>
              <w:right w:val="nil"/>
            </w:tcBorders>
            <w:shd w:val="clear" w:color="auto" w:fill="auto"/>
            <w:noWrap/>
            <w:vAlign w:val="bottom"/>
            <w:hideMark/>
          </w:tcPr>
          <w:p w14:paraId="1C5D1C8A"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000000" w:fill="FFFFFF"/>
            <w:noWrap/>
            <w:vAlign w:val="bottom"/>
            <w:hideMark/>
          </w:tcPr>
          <w:p w14:paraId="3B1C8E22" w14:textId="4E504283" w:rsidR="00681013" w:rsidRPr="009109DE" w:rsidRDefault="00E66FA4" w:rsidP="009109DE">
            <w:pPr>
              <w:jc w:val="center"/>
              <w:rPr>
                <w:sz w:val="16"/>
                <w:szCs w:val="16"/>
                <w:lang w:eastAsia="es-ES"/>
              </w:rPr>
            </w:pPr>
            <w:r>
              <w:rPr>
                <w:sz w:val="16"/>
                <w:szCs w:val="16"/>
                <w:lang w:eastAsia="es-ES"/>
              </w:rPr>
              <w:t>1.735.523</w:t>
            </w:r>
          </w:p>
        </w:tc>
        <w:tc>
          <w:tcPr>
            <w:tcW w:w="154" w:type="dxa"/>
            <w:tcBorders>
              <w:top w:val="nil"/>
              <w:left w:val="nil"/>
              <w:bottom w:val="nil"/>
              <w:right w:val="nil"/>
            </w:tcBorders>
            <w:shd w:val="clear" w:color="auto" w:fill="auto"/>
            <w:noWrap/>
            <w:vAlign w:val="bottom"/>
            <w:hideMark/>
          </w:tcPr>
          <w:p w14:paraId="51858A70" w14:textId="77777777" w:rsidR="00681013" w:rsidRPr="009109DE" w:rsidRDefault="00681013" w:rsidP="009109DE">
            <w:pPr>
              <w:jc w:val="center"/>
              <w:rPr>
                <w:sz w:val="16"/>
                <w:szCs w:val="16"/>
                <w:lang w:eastAsia="es-ES"/>
              </w:rPr>
            </w:pPr>
          </w:p>
        </w:tc>
        <w:tc>
          <w:tcPr>
            <w:tcW w:w="1249" w:type="dxa"/>
            <w:tcBorders>
              <w:top w:val="nil"/>
              <w:left w:val="nil"/>
              <w:bottom w:val="nil"/>
              <w:right w:val="nil"/>
            </w:tcBorders>
            <w:shd w:val="clear" w:color="auto" w:fill="auto"/>
            <w:noWrap/>
            <w:vAlign w:val="bottom"/>
            <w:hideMark/>
          </w:tcPr>
          <w:p w14:paraId="0B1CCD99" w14:textId="2C2C9276" w:rsidR="00681013" w:rsidRPr="009109DE" w:rsidRDefault="00E66FA4" w:rsidP="009109DE">
            <w:pPr>
              <w:jc w:val="center"/>
              <w:rPr>
                <w:sz w:val="16"/>
                <w:szCs w:val="16"/>
                <w:lang w:eastAsia="es-ES"/>
              </w:rPr>
            </w:pPr>
            <w:r>
              <w:rPr>
                <w:sz w:val="16"/>
                <w:szCs w:val="16"/>
                <w:lang w:eastAsia="es-ES"/>
              </w:rPr>
              <w:t>9.621</w:t>
            </w:r>
          </w:p>
        </w:tc>
        <w:tc>
          <w:tcPr>
            <w:tcW w:w="169" w:type="dxa"/>
            <w:tcBorders>
              <w:top w:val="nil"/>
              <w:left w:val="nil"/>
              <w:bottom w:val="nil"/>
              <w:right w:val="nil"/>
            </w:tcBorders>
            <w:shd w:val="clear" w:color="auto" w:fill="auto"/>
            <w:noWrap/>
            <w:vAlign w:val="bottom"/>
            <w:hideMark/>
          </w:tcPr>
          <w:p w14:paraId="6B081110" w14:textId="77777777" w:rsidR="00681013" w:rsidRPr="009109DE" w:rsidRDefault="00681013" w:rsidP="009109DE">
            <w:pPr>
              <w:jc w:val="center"/>
              <w:rPr>
                <w:sz w:val="16"/>
                <w:szCs w:val="16"/>
                <w:lang w:eastAsia="es-ES"/>
              </w:rPr>
            </w:pPr>
          </w:p>
        </w:tc>
        <w:tc>
          <w:tcPr>
            <w:tcW w:w="847" w:type="dxa"/>
            <w:tcBorders>
              <w:top w:val="nil"/>
              <w:left w:val="nil"/>
              <w:bottom w:val="nil"/>
              <w:right w:val="nil"/>
            </w:tcBorders>
            <w:shd w:val="clear" w:color="auto" w:fill="auto"/>
            <w:noWrap/>
            <w:vAlign w:val="bottom"/>
            <w:hideMark/>
          </w:tcPr>
          <w:p w14:paraId="2F8392A4" w14:textId="3A30CBAE" w:rsidR="00681013" w:rsidRPr="009109DE" w:rsidRDefault="00E66FA4" w:rsidP="009109DE">
            <w:pPr>
              <w:jc w:val="center"/>
              <w:rPr>
                <w:sz w:val="16"/>
                <w:szCs w:val="16"/>
                <w:lang w:eastAsia="es-ES"/>
              </w:rPr>
            </w:pPr>
            <w:r>
              <w:rPr>
                <w:sz w:val="16"/>
                <w:szCs w:val="16"/>
                <w:lang w:eastAsia="es-ES"/>
              </w:rPr>
              <w:t>1</w:t>
            </w:r>
            <w:r w:rsidR="00681013" w:rsidRPr="009109DE">
              <w:rPr>
                <w:sz w:val="16"/>
                <w:szCs w:val="16"/>
                <w:lang w:eastAsia="es-ES"/>
              </w:rPr>
              <w:t>%</w:t>
            </w:r>
          </w:p>
        </w:tc>
      </w:tr>
      <w:tr w:rsidR="00681013" w:rsidRPr="009109DE" w14:paraId="5CC54D84" w14:textId="77777777" w:rsidTr="009109DE">
        <w:trPr>
          <w:trHeight w:val="296"/>
        </w:trPr>
        <w:tc>
          <w:tcPr>
            <w:tcW w:w="3847" w:type="dxa"/>
            <w:gridSpan w:val="2"/>
            <w:tcBorders>
              <w:top w:val="nil"/>
              <w:left w:val="nil"/>
              <w:bottom w:val="nil"/>
              <w:right w:val="nil"/>
            </w:tcBorders>
            <w:shd w:val="clear" w:color="000000" w:fill="F2F2F2"/>
            <w:noWrap/>
            <w:vAlign w:val="bottom"/>
            <w:hideMark/>
          </w:tcPr>
          <w:p w14:paraId="644E9D4D" w14:textId="77777777" w:rsidR="00681013" w:rsidRPr="009109DE" w:rsidRDefault="00681013" w:rsidP="00084399">
            <w:pPr>
              <w:rPr>
                <w:sz w:val="16"/>
                <w:szCs w:val="16"/>
                <w:lang w:eastAsia="es-ES"/>
              </w:rPr>
            </w:pPr>
            <w:r w:rsidRPr="009109DE">
              <w:rPr>
                <w:sz w:val="16"/>
                <w:szCs w:val="16"/>
                <w:lang w:eastAsia="es-ES"/>
              </w:rPr>
              <w:t xml:space="preserve">Pasivo Corriente </w:t>
            </w:r>
          </w:p>
        </w:tc>
        <w:tc>
          <w:tcPr>
            <w:tcW w:w="1093" w:type="dxa"/>
            <w:tcBorders>
              <w:top w:val="nil"/>
              <w:left w:val="nil"/>
              <w:bottom w:val="nil"/>
              <w:right w:val="nil"/>
            </w:tcBorders>
            <w:shd w:val="clear" w:color="000000" w:fill="F2F2F2"/>
            <w:noWrap/>
            <w:vAlign w:val="bottom"/>
            <w:hideMark/>
          </w:tcPr>
          <w:p w14:paraId="36F57D72" w14:textId="3DA1DBE2" w:rsidR="00681013" w:rsidRPr="009109DE" w:rsidRDefault="00A96563" w:rsidP="009109DE">
            <w:pPr>
              <w:jc w:val="center"/>
              <w:rPr>
                <w:sz w:val="16"/>
                <w:szCs w:val="16"/>
                <w:lang w:eastAsia="es-ES"/>
              </w:rPr>
            </w:pPr>
            <w:r>
              <w:rPr>
                <w:sz w:val="16"/>
                <w:szCs w:val="16"/>
                <w:lang w:eastAsia="es-ES"/>
              </w:rPr>
              <w:t>4.263.647</w:t>
            </w:r>
          </w:p>
        </w:tc>
        <w:tc>
          <w:tcPr>
            <w:tcW w:w="335" w:type="dxa"/>
            <w:tcBorders>
              <w:top w:val="nil"/>
              <w:left w:val="nil"/>
              <w:bottom w:val="nil"/>
              <w:right w:val="nil"/>
            </w:tcBorders>
            <w:shd w:val="clear" w:color="auto" w:fill="auto"/>
            <w:noWrap/>
            <w:vAlign w:val="bottom"/>
            <w:hideMark/>
          </w:tcPr>
          <w:p w14:paraId="02DA5C87"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000000" w:fill="F2F2F2"/>
            <w:noWrap/>
            <w:vAlign w:val="bottom"/>
            <w:hideMark/>
          </w:tcPr>
          <w:p w14:paraId="0E1C5FEB" w14:textId="792B897C" w:rsidR="00681013" w:rsidRPr="009109DE" w:rsidRDefault="00A96563" w:rsidP="009109DE">
            <w:pPr>
              <w:jc w:val="center"/>
              <w:rPr>
                <w:sz w:val="16"/>
                <w:szCs w:val="16"/>
                <w:lang w:eastAsia="es-ES"/>
              </w:rPr>
            </w:pPr>
            <w:r>
              <w:rPr>
                <w:sz w:val="16"/>
                <w:szCs w:val="16"/>
                <w:lang w:eastAsia="es-ES"/>
              </w:rPr>
              <w:t>2.8</w:t>
            </w:r>
            <w:r w:rsidR="005B1083">
              <w:rPr>
                <w:sz w:val="16"/>
                <w:szCs w:val="16"/>
                <w:lang w:eastAsia="es-ES"/>
              </w:rPr>
              <w:t>53</w:t>
            </w:r>
            <w:r>
              <w:rPr>
                <w:sz w:val="16"/>
                <w:szCs w:val="16"/>
                <w:lang w:eastAsia="es-ES"/>
              </w:rPr>
              <w:t>.</w:t>
            </w:r>
            <w:r w:rsidR="005B1083">
              <w:rPr>
                <w:sz w:val="16"/>
                <w:szCs w:val="16"/>
                <w:lang w:eastAsia="es-ES"/>
              </w:rPr>
              <w:t>45</w:t>
            </w:r>
            <w:r>
              <w:rPr>
                <w:sz w:val="16"/>
                <w:szCs w:val="16"/>
                <w:lang w:eastAsia="es-ES"/>
              </w:rPr>
              <w:t>9</w:t>
            </w:r>
          </w:p>
        </w:tc>
        <w:tc>
          <w:tcPr>
            <w:tcW w:w="154" w:type="dxa"/>
            <w:tcBorders>
              <w:top w:val="nil"/>
              <w:left w:val="nil"/>
              <w:bottom w:val="nil"/>
              <w:right w:val="nil"/>
            </w:tcBorders>
            <w:shd w:val="clear" w:color="auto" w:fill="auto"/>
            <w:noWrap/>
            <w:vAlign w:val="bottom"/>
            <w:hideMark/>
          </w:tcPr>
          <w:p w14:paraId="719868AD" w14:textId="77777777" w:rsidR="00681013" w:rsidRPr="009109DE" w:rsidRDefault="00681013" w:rsidP="009109DE">
            <w:pPr>
              <w:jc w:val="center"/>
              <w:rPr>
                <w:sz w:val="16"/>
                <w:szCs w:val="16"/>
                <w:lang w:eastAsia="es-ES"/>
              </w:rPr>
            </w:pPr>
          </w:p>
        </w:tc>
        <w:tc>
          <w:tcPr>
            <w:tcW w:w="1249" w:type="dxa"/>
            <w:tcBorders>
              <w:top w:val="nil"/>
              <w:left w:val="nil"/>
              <w:bottom w:val="nil"/>
              <w:right w:val="nil"/>
            </w:tcBorders>
            <w:shd w:val="clear" w:color="000000" w:fill="F2F2F2"/>
            <w:noWrap/>
            <w:vAlign w:val="bottom"/>
            <w:hideMark/>
          </w:tcPr>
          <w:p w14:paraId="7EF4AF6D" w14:textId="5D7D5D6C" w:rsidR="00681013" w:rsidRPr="009109DE" w:rsidRDefault="00681013" w:rsidP="009109DE">
            <w:pPr>
              <w:jc w:val="center"/>
              <w:rPr>
                <w:sz w:val="16"/>
                <w:szCs w:val="16"/>
                <w:lang w:eastAsia="es-ES"/>
              </w:rPr>
            </w:pPr>
            <w:r w:rsidRPr="009109DE">
              <w:rPr>
                <w:sz w:val="16"/>
                <w:szCs w:val="16"/>
                <w:lang w:eastAsia="es-ES"/>
              </w:rPr>
              <w:t>-</w:t>
            </w:r>
            <w:r w:rsidR="00A96563">
              <w:rPr>
                <w:sz w:val="16"/>
                <w:szCs w:val="16"/>
                <w:lang w:eastAsia="es-ES"/>
              </w:rPr>
              <w:t>1.41</w:t>
            </w:r>
            <w:r w:rsidR="005B1083">
              <w:rPr>
                <w:sz w:val="16"/>
                <w:szCs w:val="16"/>
                <w:lang w:eastAsia="es-ES"/>
              </w:rPr>
              <w:t>0</w:t>
            </w:r>
            <w:r w:rsidR="00A96563">
              <w:rPr>
                <w:sz w:val="16"/>
                <w:szCs w:val="16"/>
                <w:lang w:eastAsia="es-ES"/>
              </w:rPr>
              <w:t>.1</w:t>
            </w:r>
            <w:r w:rsidR="005B1083">
              <w:rPr>
                <w:sz w:val="16"/>
                <w:szCs w:val="16"/>
                <w:lang w:eastAsia="es-ES"/>
              </w:rPr>
              <w:t>8</w:t>
            </w:r>
            <w:r w:rsidR="00A96563">
              <w:rPr>
                <w:sz w:val="16"/>
                <w:szCs w:val="16"/>
                <w:lang w:eastAsia="es-ES"/>
              </w:rPr>
              <w:t>9</w:t>
            </w:r>
          </w:p>
        </w:tc>
        <w:tc>
          <w:tcPr>
            <w:tcW w:w="169" w:type="dxa"/>
            <w:tcBorders>
              <w:top w:val="nil"/>
              <w:left w:val="nil"/>
              <w:bottom w:val="nil"/>
              <w:right w:val="nil"/>
            </w:tcBorders>
            <w:shd w:val="clear" w:color="auto" w:fill="auto"/>
            <w:noWrap/>
            <w:vAlign w:val="bottom"/>
            <w:hideMark/>
          </w:tcPr>
          <w:p w14:paraId="0BFAEF19" w14:textId="77777777" w:rsidR="00681013" w:rsidRPr="009109DE" w:rsidRDefault="00681013" w:rsidP="009109DE">
            <w:pPr>
              <w:jc w:val="center"/>
              <w:rPr>
                <w:sz w:val="16"/>
                <w:szCs w:val="16"/>
                <w:lang w:eastAsia="es-ES"/>
              </w:rPr>
            </w:pPr>
          </w:p>
        </w:tc>
        <w:tc>
          <w:tcPr>
            <w:tcW w:w="847" w:type="dxa"/>
            <w:tcBorders>
              <w:top w:val="nil"/>
              <w:left w:val="nil"/>
              <w:bottom w:val="nil"/>
              <w:right w:val="nil"/>
            </w:tcBorders>
            <w:shd w:val="clear" w:color="000000" w:fill="F2F2F2"/>
            <w:noWrap/>
            <w:vAlign w:val="bottom"/>
            <w:hideMark/>
          </w:tcPr>
          <w:p w14:paraId="34B3475B" w14:textId="281E1DDC" w:rsidR="00681013" w:rsidRPr="009109DE" w:rsidRDefault="00681013" w:rsidP="009109DE">
            <w:pPr>
              <w:jc w:val="center"/>
              <w:rPr>
                <w:sz w:val="16"/>
                <w:szCs w:val="16"/>
                <w:lang w:eastAsia="es-ES"/>
              </w:rPr>
            </w:pPr>
            <w:r w:rsidRPr="009109DE">
              <w:rPr>
                <w:sz w:val="16"/>
                <w:szCs w:val="16"/>
                <w:lang w:eastAsia="es-ES"/>
              </w:rPr>
              <w:t>-</w:t>
            </w:r>
            <w:r w:rsidR="00A96563">
              <w:rPr>
                <w:sz w:val="16"/>
                <w:szCs w:val="16"/>
                <w:lang w:eastAsia="es-ES"/>
              </w:rPr>
              <w:t>33</w:t>
            </w:r>
            <w:r w:rsidRPr="009109DE">
              <w:rPr>
                <w:sz w:val="16"/>
                <w:szCs w:val="16"/>
                <w:lang w:eastAsia="es-ES"/>
              </w:rPr>
              <w:t>%</w:t>
            </w:r>
          </w:p>
        </w:tc>
      </w:tr>
      <w:tr w:rsidR="00681013" w:rsidRPr="009109DE" w14:paraId="43682DA2" w14:textId="77777777" w:rsidTr="009109DE">
        <w:trPr>
          <w:trHeight w:val="296"/>
        </w:trPr>
        <w:tc>
          <w:tcPr>
            <w:tcW w:w="1552" w:type="dxa"/>
            <w:tcBorders>
              <w:top w:val="nil"/>
              <w:left w:val="nil"/>
              <w:bottom w:val="nil"/>
              <w:right w:val="nil"/>
            </w:tcBorders>
            <w:shd w:val="clear" w:color="auto" w:fill="auto"/>
            <w:noWrap/>
            <w:vAlign w:val="bottom"/>
            <w:hideMark/>
          </w:tcPr>
          <w:p w14:paraId="183BAA88" w14:textId="77777777" w:rsidR="00681013" w:rsidRPr="009109DE" w:rsidRDefault="00681013" w:rsidP="00084399">
            <w:pPr>
              <w:rPr>
                <w:sz w:val="16"/>
                <w:szCs w:val="16"/>
                <w:lang w:eastAsia="es-ES"/>
              </w:rPr>
            </w:pPr>
          </w:p>
        </w:tc>
        <w:tc>
          <w:tcPr>
            <w:tcW w:w="2295" w:type="dxa"/>
            <w:tcBorders>
              <w:top w:val="nil"/>
              <w:left w:val="nil"/>
              <w:bottom w:val="nil"/>
              <w:right w:val="nil"/>
            </w:tcBorders>
            <w:shd w:val="clear" w:color="auto" w:fill="auto"/>
            <w:noWrap/>
            <w:vAlign w:val="bottom"/>
            <w:hideMark/>
          </w:tcPr>
          <w:p w14:paraId="4409D442" w14:textId="77777777" w:rsidR="00681013" w:rsidRPr="009109DE" w:rsidRDefault="00681013" w:rsidP="00084399">
            <w:pPr>
              <w:rPr>
                <w:sz w:val="16"/>
                <w:szCs w:val="16"/>
                <w:lang w:eastAsia="es-ES"/>
              </w:rPr>
            </w:pPr>
          </w:p>
        </w:tc>
        <w:tc>
          <w:tcPr>
            <w:tcW w:w="1093" w:type="dxa"/>
            <w:tcBorders>
              <w:top w:val="nil"/>
              <w:left w:val="nil"/>
              <w:bottom w:val="nil"/>
              <w:right w:val="nil"/>
            </w:tcBorders>
            <w:shd w:val="clear" w:color="auto" w:fill="auto"/>
            <w:noWrap/>
            <w:vAlign w:val="bottom"/>
            <w:hideMark/>
          </w:tcPr>
          <w:p w14:paraId="4820D24D" w14:textId="77777777" w:rsidR="00681013" w:rsidRPr="009109DE" w:rsidRDefault="00681013" w:rsidP="009109DE">
            <w:pPr>
              <w:jc w:val="center"/>
              <w:rPr>
                <w:sz w:val="16"/>
                <w:szCs w:val="16"/>
                <w:lang w:eastAsia="es-ES"/>
              </w:rPr>
            </w:pPr>
          </w:p>
        </w:tc>
        <w:tc>
          <w:tcPr>
            <w:tcW w:w="335" w:type="dxa"/>
            <w:tcBorders>
              <w:top w:val="nil"/>
              <w:left w:val="nil"/>
              <w:bottom w:val="nil"/>
              <w:right w:val="nil"/>
            </w:tcBorders>
            <w:shd w:val="clear" w:color="auto" w:fill="auto"/>
            <w:noWrap/>
            <w:vAlign w:val="bottom"/>
            <w:hideMark/>
          </w:tcPr>
          <w:p w14:paraId="2E30A426" w14:textId="77777777" w:rsidR="00681013" w:rsidRPr="009109DE" w:rsidRDefault="00681013" w:rsidP="009109DE">
            <w:pPr>
              <w:jc w:val="center"/>
              <w:rPr>
                <w:sz w:val="16"/>
                <w:szCs w:val="16"/>
                <w:lang w:eastAsia="es-ES"/>
              </w:rPr>
            </w:pPr>
          </w:p>
        </w:tc>
        <w:tc>
          <w:tcPr>
            <w:tcW w:w="1258" w:type="dxa"/>
            <w:tcBorders>
              <w:top w:val="nil"/>
              <w:left w:val="nil"/>
              <w:bottom w:val="nil"/>
              <w:right w:val="nil"/>
            </w:tcBorders>
            <w:shd w:val="clear" w:color="auto" w:fill="auto"/>
            <w:noWrap/>
            <w:vAlign w:val="bottom"/>
            <w:hideMark/>
          </w:tcPr>
          <w:p w14:paraId="1B1606EC" w14:textId="77777777" w:rsidR="00681013" w:rsidRPr="009109DE" w:rsidRDefault="00681013" w:rsidP="009109DE">
            <w:pPr>
              <w:jc w:val="center"/>
              <w:rPr>
                <w:sz w:val="16"/>
                <w:szCs w:val="16"/>
                <w:lang w:eastAsia="es-ES"/>
              </w:rPr>
            </w:pPr>
          </w:p>
        </w:tc>
        <w:tc>
          <w:tcPr>
            <w:tcW w:w="154" w:type="dxa"/>
            <w:tcBorders>
              <w:top w:val="nil"/>
              <w:left w:val="nil"/>
              <w:bottom w:val="nil"/>
              <w:right w:val="nil"/>
            </w:tcBorders>
            <w:shd w:val="clear" w:color="auto" w:fill="auto"/>
            <w:noWrap/>
            <w:vAlign w:val="bottom"/>
            <w:hideMark/>
          </w:tcPr>
          <w:p w14:paraId="3714394B" w14:textId="77777777" w:rsidR="00681013" w:rsidRPr="009109DE" w:rsidRDefault="00681013" w:rsidP="009109DE">
            <w:pPr>
              <w:jc w:val="center"/>
              <w:rPr>
                <w:sz w:val="16"/>
                <w:szCs w:val="16"/>
                <w:lang w:eastAsia="es-ES"/>
              </w:rPr>
            </w:pPr>
          </w:p>
        </w:tc>
        <w:tc>
          <w:tcPr>
            <w:tcW w:w="1249" w:type="dxa"/>
            <w:tcBorders>
              <w:top w:val="nil"/>
              <w:left w:val="nil"/>
              <w:bottom w:val="nil"/>
              <w:right w:val="nil"/>
            </w:tcBorders>
            <w:shd w:val="clear" w:color="auto" w:fill="auto"/>
            <w:noWrap/>
            <w:vAlign w:val="bottom"/>
            <w:hideMark/>
          </w:tcPr>
          <w:p w14:paraId="1DE6B682" w14:textId="77777777" w:rsidR="00681013" w:rsidRPr="009109DE" w:rsidRDefault="00681013" w:rsidP="005B1083">
            <w:pPr>
              <w:rPr>
                <w:sz w:val="16"/>
                <w:szCs w:val="16"/>
                <w:lang w:eastAsia="es-ES"/>
              </w:rPr>
            </w:pPr>
          </w:p>
        </w:tc>
        <w:tc>
          <w:tcPr>
            <w:tcW w:w="169" w:type="dxa"/>
            <w:tcBorders>
              <w:top w:val="nil"/>
              <w:left w:val="nil"/>
              <w:bottom w:val="nil"/>
              <w:right w:val="nil"/>
            </w:tcBorders>
            <w:shd w:val="clear" w:color="auto" w:fill="auto"/>
            <w:noWrap/>
            <w:vAlign w:val="bottom"/>
            <w:hideMark/>
          </w:tcPr>
          <w:p w14:paraId="36F45EE9" w14:textId="77777777" w:rsidR="00681013" w:rsidRPr="009109DE" w:rsidRDefault="00681013" w:rsidP="009109DE">
            <w:pPr>
              <w:jc w:val="center"/>
              <w:rPr>
                <w:sz w:val="16"/>
                <w:szCs w:val="16"/>
                <w:lang w:eastAsia="es-ES"/>
              </w:rPr>
            </w:pPr>
          </w:p>
        </w:tc>
        <w:tc>
          <w:tcPr>
            <w:tcW w:w="847" w:type="dxa"/>
            <w:tcBorders>
              <w:top w:val="nil"/>
              <w:left w:val="nil"/>
              <w:bottom w:val="nil"/>
              <w:right w:val="nil"/>
            </w:tcBorders>
            <w:shd w:val="clear" w:color="auto" w:fill="auto"/>
            <w:noWrap/>
            <w:vAlign w:val="bottom"/>
            <w:hideMark/>
          </w:tcPr>
          <w:p w14:paraId="57E9E7A3" w14:textId="77777777" w:rsidR="00681013" w:rsidRPr="009109DE" w:rsidRDefault="00681013" w:rsidP="009109DE">
            <w:pPr>
              <w:jc w:val="center"/>
              <w:rPr>
                <w:sz w:val="16"/>
                <w:szCs w:val="16"/>
                <w:lang w:eastAsia="es-ES"/>
              </w:rPr>
            </w:pPr>
          </w:p>
        </w:tc>
      </w:tr>
      <w:tr w:rsidR="00681013" w:rsidRPr="009109DE" w14:paraId="0128F578" w14:textId="77777777" w:rsidTr="009109DE">
        <w:trPr>
          <w:trHeight w:val="296"/>
        </w:trPr>
        <w:tc>
          <w:tcPr>
            <w:tcW w:w="3847" w:type="dxa"/>
            <w:gridSpan w:val="2"/>
            <w:tcBorders>
              <w:top w:val="nil"/>
              <w:left w:val="nil"/>
              <w:bottom w:val="nil"/>
              <w:right w:val="nil"/>
            </w:tcBorders>
            <w:shd w:val="clear" w:color="000000" w:fill="A6A6A6"/>
            <w:noWrap/>
            <w:vAlign w:val="bottom"/>
            <w:hideMark/>
          </w:tcPr>
          <w:p w14:paraId="0EAB7C64" w14:textId="77777777" w:rsidR="00681013" w:rsidRPr="009109DE" w:rsidRDefault="00681013" w:rsidP="00084399">
            <w:pPr>
              <w:rPr>
                <w:rStyle w:val="nfasissutil"/>
                <w:sz w:val="16"/>
                <w:szCs w:val="16"/>
              </w:rPr>
            </w:pPr>
            <w:r w:rsidRPr="009109DE">
              <w:rPr>
                <w:rStyle w:val="nfasissutil"/>
                <w:sz w:val="16"/>
                <w:szCs w:val="16"/>
              </w:rPr>
              <w:t>TOTAL PASIVO Y PATRIMONIO NETO</w:t>
            </w:r>
          </w:p>
        </w:tc>
        <w:tc>
          <w:tcPr>
            <w:tcW w:w="1093" w:type="dxa"/>
            <w:tcBorders>
              <w:top w:val="nil"/>
              <w:left w:val="nil"/>
              <w:bottom w:val="nil"/>
              <w:right w:val="nil"/>
            </w:tcBorders>
            <w:shd w:val="clear" w:color="000000" w:fill="A6A6A6"/>
            <w:noWrap/>
            <w:vAlign w:val="bottom"/>
            <w:hideMark/>
          </w:tcPr>
          <w:p w14:paraId="63CFC851" w14:textId="09A99182" w:rsidR="00681013" w:rsidRPr="009109DE" w:rsidRDefault="005A07FB" w:rsidP="009109DE">
            <w:pPr>
              <w:jc w:val="center"/>
              <w:rPr>
                <w:rStyle w:val="nfasissutil"/>
                <w:sz w:val="16"/>
                <w:szCs w:val="16"/>
              </w:rPr>
            </w:pPr>
            <w:r>
              <w:rPr>
                <w:rStyle w:val="nfasissutil"/>
                <w:sz w:val="16"/>
                <w:szCs w:val="16"/>
              </w:rPr>
              <w:t>11.417.060</w:t>
            </w:r>
          </w:p>
        </w:tc>
        <w:tc>
          <w:tcPr>
            <w:tcW w:w="335" w:type="dxa"/>
            <w:tcBorders>
              <w:top w:val="nil"/>
              <w:left w:val="nil"/>
              <w:bottom w:val="nil"/>
              <w:right w:val="nil"/>
            </w:tcBorders>
            <w:shd w:val="clear" w:color="auto" w:fill="auto"/>
            <w:noWrap/>
            <w:vAlign w:val="bottom"/>
            <w:hideMark/>
          </w:tcPr>
          <w:p w14:paraId="3544A9E9" w14:textId="77777777" w:rsidR="00681013" w:rsidRPr="009109DE" w:rsidRDefault="00681013" w:rsidP="009109DE">
            <w:pPr>
              <w:jc w:val="center"/>
              <w:rPr>
                <w:rStyle w:val="nfasissutil"/>
                <w:sz w:val="16"/>
                <w:szCs w:val="16"/>
              </w:rPr>
            </w:pPr>
          </w:p>
        </w:tc>
        <w:tc>
          <w:tcPr>
            <w:tcW w:w="1258" w:type="dxa"/>
            <w:tcBorders>
              <w:top w:val="nil"/>
              <w:left w:val="nil"/>
              <w:bottom w:val="nil"/>
              <w:right w:val="nil"/>
            </w:tcBorders>
            <w:shd w:val="clear" w:color="000000" w:fill="A6A6A6"/>
            <w:noWrap/>
            <w:vAlign w:val="bottom"/>
            <w:hideMark/>
          </w:tcPr>
          <w:p w14:paraId="26372B5C" w14:textId="26E2FAF8" w:rsidR="00681013" w:rsidRPr="009109DE" w:rsidRDefault="005A07FB" w:rsidP="009109DE">
            <w:pPr>
              <w:jc w:val="center"/>
              <w:rPr>
                <w:rStyle w:val="nfasissutil"/>
                <w:sz w:val="16"/>
                <w:szCs w:val="16"/>
              </w:rPr>
            </w:pPr>
            <w:r>
              <w:rPr>
                <w:rStyle w:val="nfasissutil"/>
                <w:sz w:val="16"/>
                <w:szCs w:val="16"/>
              </w:rPr>
              <w:t>9.66</w:t>
            </w:r>
            <w:r w:rsidR="005B1083">
              <w:rPr>
                <w:rStyle w:val="nfasissutil"/>
                <w:sz w:val="16"/>
                <w:szCs w:val="16"/>
              </w:rPr>
              <w:t>9</w:t>
            </w:r>
            <w:r>
              <w:rPr>
                <w:rStyle w:val="nfasissutil"/>
                <w:sz w:val="16"/>
                <w:szCs w:val="16"/>
              </w:rPr>
              <w:t>.4</w:t>
            </w:r>
            <w:r w:rsidR="005B1083">
              <w:rPr>
                <w:rStyle w:val="nfasissutil"/>
                <w:sz w:val="16"/>
                <w:szCs w:val="16"/>
              </w:rPr>
              <w:t>1</w:t>
            </w:r>
            <w:r>
              <w:rPr>
                <w:rStyle w:val="nfasissutil"/>
                <w:sz w:val="16"/>
                <w:szCs w:val="16"/>
              </w:rPr>
              <w:t>0</w:t>
            </w:r>
          </w:p>
        </w:tc>
        <w:tc>
          <w:tcPr>
            <w:tcW w:w="154" w:type="dxa"/>
            <w:tcBorders>
              <w:top w:val="nil"/>
              <w:left w:val="nil"/>
              <w:bottom w:val="nil"/>
              <w:right w:val="nil"/>
            </w:tcBorders>
            <w:shd w:val="clear" w:color="auto" w:fill="auto"/>
            <w:noWrap/>
            <w:vAlign w:val="bottom"/>
            <w:hideMark/>
          </w:tcPr>
          <w:p w14:paraId="2D87287D" w14:textId="77777777" w:rsidR="00681013" w:rsidRPr="009109DE" w:rsidRDefault="00681013" w:rsidP="009109DE">
            <w:pPr>
              <w:jc w:val="center"/>
              <w:rPr>
                <w:rStyle w:val="nfasissutil"/>
                <w:sz w:val="16"/>
                <w:szCs w:val="16"/>
              </w:rPr>
            </w:pPr>
          </w:p>
        </w:tc>
        <w:tc>
          <w:tcPr>
            <w:tcW w:w="1249" w:type="dxa"/>
            <w:tcBorders>
              <w:top w:val="nil"/>
              <w:left w:val="nil"/>
              <w:bottom w:val="nil"/>
              <w:right w:val="nil"/>
            </w:tcBorders>
            <w:shd w:val="clear" w:color="000000" w:fill="A6A6A6"/>
            <w:noWrap/>
            <w:vAlign w:val="bottom"/>
            <w:hideMark/>
          </w:tcPr>
          <w:p w14:paraId="35290280" w14:textId="2C9F4244" w:rsidR="00681013" w:rsidRPr="009109DE" w:rsidRDefault="00681013" w:rsidP="009109DE">
            <w:pPr>
              <w:jc w:val="center"/>
              <w:rPr>
                <w:rStyle w:val="nfasissutil"/>
                <w:sz w:val="16"/>
                <w:szCs w:val="16"/>
              </w:rPr>
            </w:pPr>
            <w:r w:rsidRPr="009109DE">
              <w:rPr>
                <w:rStyle w:val="nfasissutil"/>
                <w:sz w:val="16"/>
                <w:szCs w:val="16"/>
              </w:rPr>
              <w:t>-</w:t>
            </w:r>
            <w:r w:rsidR="005A07FB">
              <w:rPr>
                <w:rStyle w:val="nfasissutil"/>
                <w:sz w:val="16"/>
                <w:szCs w:val="16"/>
              </w:rPr>
              <w:t>1.7</w:t>
            </w:r>
            <w:r w:rsidR="005B1083">
              <w:rPr>
                <w:rStyle w:val="nfasissutil"/>
                <w:sz w:val="16"/>
                <w:szCs w:val="16"/>
              </w:rPr>
              <w:t>47</w:t>
            </w:r>
            <w:r w:rsidR="005A07FB">
              <w:rPr>
                <w:rStyle w:val="nfasissutil"/>
                <w:sz w:val="16"/>
                <w:szCs w:val="16"/>
              </w:rPr>
              <w:t>.6</w:t>
            </w:r>
            <w:r w:rsidR="005B1083">
              <w:rPr>
                <w:rStyle w:val="nfasissutil"/>
                <w:sz w:val="16"/>
                <w:szCs w:val="16"/>
              </w:rPr>
              <w:t>50</w:t>
            </w:r>
          </w:p>
        </w:tc>
        <w:tc>
          <w:tcPr>
            <w:tcW w:w="169" w:type="dxa"/>
            <w:tcBorders>
              <w:top w:val="nil"/>
              <w:left w:val="nil"/>
              <w:bottom w:val="nil"/>
              <w:right w:val="nil"/>
            </w:tcBorders>
            <w:shd w:val="clear" w:color="auto" w:fill="auto"/>
            <w:noWrap/>
            <w:vAlign w:val="bottom"/>
            <w:hideMark/>
          </w:tcPr>
          <w:p w14:paraId="0151C018" w14:textId="77777777" w:rsidR="00681013" w:rsidRPr="009109DE" w:rsidRDefault="00681013" w:rsidP="009109DE">
            <w:pPr>
              <w:jc w:val="center"/>
              <w:rPr>
                <w:rStyle w:val="nfasissutil"/>
                <w:sz w:val="16"/>
                <w:szCs w:val="16"/>
              </w:rPr>
            </w:pPr>
          </w:p>
        </w:tc>
        <w:tc>
          <w:tcPr>
            <w:tcW w:w="847" w:type="dxa"/>
            <w:tcBorders>
              <w:top w:val="nil"/>
              <w:left w:val="nil"/>
              <w:bottom w:val="nil"/>
              <w:right w:val="nil"/>
            </w:tcBorders>
            <w:shd w:val="clear" w:color="000000" w:fill="A6A6A6"/>
            <w:noWrap/>
            <w:vAlign w:val="bottom"/>
            <w:hideMark/>
          </w:tcPr>
          <w:p w14:paraId="38431928" w14:textId="35432264" w:rsidR="00681013" w:rsidRPr="009109DE" w:rsidRDefault="00681013" w:rsidP="009109DE">
            <w:pPr>
              <w:jc w:val="center"/>
              <w:rPr>
                <w:rStyle w:val="nfasissutil"/>
                <w:sz w:val="16"/>
                <w:szCs w:val="16"/>
              </w:rPr>
            </w:pPr>
            <w:r w:rsidRPr="009109DE">
              <w:rPr>
                <w:rStyle w:val="nfasissutil"/>
                <w:sz w:val="16"/>
                <w:szCs w:val="16"/>
              </w:rPr>
              <w:t>-1</w:t>
            </w:r>
            <w:r w:rsidR="00A96563">
              <w:rPr>
                <w:rStyle w:val="nfasissutil"/>
                <w:sz w:val="16"/>
                <w:szCs w:val="16"/>
              </w:rPr>
              <w:t>5</w:t>
            </w:r>
            <w:r w:rsidRPr="009109DE">
              <w:rPr>
                <w:rStyle w:val="nfasissutil"/>
                <w:sz w:val="16"/>
                <w:szCs w:val="16"/>
              </w:rPr>
              <w:t>,</w:t>
            </w:r>
            <w:r w:rsidR="005B1083">
              <w:rPr>
                <w:rStyle w:val="nfasissutil"/>
                <w:sz w:val="16"/>
                <w:szCs w:val="16"/>
              </w:rPr>
              <w:t>3</w:t>
            </w:r>
            <w:r w:rsidRPr="009109DE">
              <w:rPr>
                <w:rStyle w:val="nfasissutil"/>
                <w:sz w:val="16"/>
                <w:szCs w:val="16"/>
              </w:rPr>
              <w:t>%</w:t>
            </w:r>
          </w:p>
        </w:tc>
      </w:tr>
    </w:tbl>
    <w:p w14:paraId="3897AD97" w14:textId="77777777" w:rsidR="00177491" w:rsidRPr="00EB6871" w:rsidRDefault="00177491" w:rsidP="00084399"/>
    <w:p w14:paraId="354A841E" w14:textId="5FEE6361" w:rsidR="00AA534C" w:rsidRDefault="00AA534C">
      <w:pPr>
        <w:spacing w:line="259" w:lineRule="auto"/>
        <w:jc w:val="left"/>
      </w:pPr>
      <w:r>
        <w:br w:type="page"/>
      </w:r>
    </w:p>
    <w:p w14:paraId="57676551" w14:textId="77777777" w:rsidR="00177491" w:rsidRPr="00EB6871" w:rsidRDefault="00177491" w:rsidP="00084399"/>
    <w:p w14:paraId="06BB3BA8" w14:textId="77777777" w:rsidR="00177491" w:rsidRPr="00EB6871" w:rsidRDefault="00177491" w:rsidP="00E13D58">
      <w:pPr>
        <w:pStyle w:val="Ttulo2"/>
      </w:pPr>
      <w:bookmarkStart w:id="24" w:name="_Toc85297131"/>
      <w:r w:rsidRPr="00EB6871">
        <w:t>6.2. Activo no corriente</w:t>
      </w:r>
      <w:bookmarkEnd w:id="24"/>
    </w:p>
    <w:p w14:paraId="57EC5DD1" w14:textId="77777777" w:rsidR="00177491" w:rsidRPr="00EB6871" w:rsidRDefault="00177491" w:rsidP="00084399"/>
    <w:p w14:paraId="7798F50F" w14:textId="05D6534D" w:rsidR="00177491" w:rsidRPr="003B086D" w:rsidRDefault="00177491" w:rsidP="00FA1E85">
      <w:pPr>
        <w:pStyle w:val="Prrafodelista"/>
        <w:numPr>
          <w:ilvl w:val="0"/>
          <w:numId w:val="19"/>
        </w:numPr>
        <w:jc w:val="left"/>
        <w:rPr>
          <w:rStyle w:val="nfasissutil"/>
        </w:rPr>
      </w:pPr>
      <w:r w:rsidRPr="003B086D">
        <w:rPr>
          <w:rStyle w:val="nfasissutil"/>
        </w:rPr>
        <w:t>Inmovilizado Intangible</w:t>
      </w:r>
    </w:p>
    <w:p w14:paraId="0450CFE6" w14:textId="283A1E58" w:rsidR="00D03975" w:rsidRDefault="00177491" w:rsidP="00D03975">
      <w:pPr>
        <w:jc w:val="left"/>
      </w:pPr>
      <w:r w:rsidRPr="00EB6871">
        <w:t>El saldo de 14k corresponde a</w:t>
      </w:r>
      <w:r w:rsidR="00D03975">
        <w:t xml:space="preserve"> </w:t>
      </w:r>
      <w:r w:rsidRPr="00EB6871">
        <w:t>l</w:t>
      </w:r>
      <w:r w:rsidR="00D03975">
        <w:t>a inversión prevista de 20 k€ para año 2022 menos la diferencia acumulada del año</w:t>
      </w:r>
      <w:r w:rsidR="00C1115E">
        <w:t>.</w:t>
      </w:r>
    </w:p>
    <w:p w14:paraId="6BCC3355" w14:textId="537E6F07" w:rsidR="00177491" w:rsidRPr="003B086D" w:rsidRDefault="00177491" w:rsidP="00D03975">
      <w:pPr>
        <w:pStyle w:val="Prrafodelista"/>
        <w:numPr>
          <w:ilvl w:val="0"/>
          <w:numId w:val="19"/>
        </w:numPr>
        <w:jc w:val="left"/>
        <w:rPr>
          <w:rStyle w:val="nfasissutil"/>
        </w:rPr>
      </w:pPr>
      <w:r w:rsidRPr="003B086D">
        <w:rPr>
          <w:rStyle w:val="nfasissutil"/>
        </w:rPr>
        <w:t>Inmovilizado Material</w:t>
      </w:r>
    </w:p>
    <w:p w14:paraId="13DA2597" w14:textId="6C400B10" w:rsidR="00177491" w:rsidRDefault="00177491" w:rsidP="00FA1E85">
      <w:pPr>
        <w:jc w:val="left"/>
      </w:pPr>
      <w:r w:rsidRPr="00EB6871">
        <w:t>Se prevén inversiones en equipos informáticos y compra de inmovilizado material por valor de 5</w:t>
      </w:r>
      <w:r w:rsidR="00C1115E">
        <w:t>0</w:t>
      </w:r>
      <w:r w:rsidRPr="00EB6871">
        <w:t xml:space="preserve"> k€ menos una previsión de 78 k€ de amortización durante el año 202</w:t>
      </w:r>
      <w:r w:rsidR="00C1115E">
        <w:t>2</w:t>
      </w:r>
      <w:r w:rsidRPr="00EB6871">
        <w:t>.</w:t>
      </w:r>
    </w:p>
    <w:p w14:paraId="199C757D" w14:textId="3D27C544" w:rsidR="00177491" w:rsidRPr="003B086D" w:rsidRDefault="00177491" w:rsidP="00FA1E85">
      <w:pPr>
        <w:pStyle w:val="Prrafodelista"/>
        <w:numPr>
          <w:ilvl w:val="0"/>
          <w:numId w:val="19"/>
        </w:numPr>
        <w:jc w:val="left"/>
        <w:rPr>
          <w:rStyle w:val="nfasissutil"/>
        </w:rPr>
      </w:pPr>
      <w:r w:rsidRPr="003B086D">
        <w:rPr>
          <w:rStyle w:val="nfasissutil"/>
        </w:rPr>
        <w:t>Inversiones en Entidades del Grupo</w:t>
      </w:r>
    </w:p>
    <w:p w14:paraId="2253EFBD" w14:textId="26FCDE18" w:rsidR="00177491" w:rsidRPr="00EB6871" w:rsidRDefault="00177491" w:rsidP="00FA1E85">
      <w:pPr>
        <w:jc w:val="left"/>
      </w:pPr>
      <w:r w:rsidRPr="00EB6871">
        <w:t>Las inversiones financieras en Entidades del Grupo corresponden a la inversión realizada en la entidad 100% participada por la Fundación, la sociedad Barcelona Mobile Ventures, S.L. desde su inicio. La diferencia es el resultado del 202</w:t>
      </w:r>
      <w:r w:rsidR="00C1115E">
        <w:t xml:space="preserve">2 </w:t>
      </w:r>
      <w:r w:rsidRPr="00EB6871">
        <w:t>previsto en la sociedad limitada, Barcelona Mobile Ventures, S.L (</w:t>
      </w:r>
      <w:r w:rsidR="006B190D">
        <w:t>160</w:t>
      </w:r>
      <w:r w:rsidRPr="00EB6871">
        <w:t xml:space="preserve"> K€)</w:t>
      </w:r>
    </w:p>
    <w:p w14:paraId="43D2A591" w14:textId="6BD9D0D7" w:rsidR="00177491" w:rsidRPr="003B086D" w:rsidRDefault="00177491" w:rsidP="00FA1E85">
      <w:pPr>
        <w:pStyle w:val="Prrafodelista"/>
        <w:numPr>
          <w:ilvl w:val="0"/>
          <w:numId w:val="19"/>
        </w:numPr>
        <w:jc w:val="left"/>
        <w:rPr>
          <w:rStyle w:val="nfasissutil"/>
        </w:rPr>
      </w:pPr>
      <w:r w:rsidRPr="003B086D">
        <w:rPr>
          <w:rStyle w:val="nfasissutil"/>
        </w:rPr>
        <w:t>Inversiones Financieras a largo plazo</w:t>
      </w:r>
    </w:p>
    <w:p w14:paraId="032675EF" w14:textId="776A58D3" w:rsidR="00177491" w:rsidRPr="00EB6871" w:rsidRDefault="00061C14" w:rsidP="00FA1E85">
      <w:pPr>
        <w:jc w:val="left"/>
      </w:pPr>
      <w:r w:rsidRPr="00EB6871">
        <w:t>La diferencia de 5 k€ corresponde a la devolución de</w:t>
      </w:r>
      <w:r w:rsidR="00177491" w:rsidRPr="00EB6871">
        <w:t xml:space="preserve"> la garantía de buena ejecución de obras prevista que se devuelva en 202</w:t>
      </w:r>
      <w:r w:rsidR="00E93799">
        <w:t>2</w:t>
      </w:r>
      <w:r w:rsidR="00177491" w:rsidRPr="00EB6871">
        <w:t>.</w:t>
      </w:r>
    </w:p>
    <w:p w14:paraId="0C07E402" w14:textId="77777777" w:rsidR="00177491" w:rsidRPr="00EB6871" w:rsidRDefault="00177491" w:rsidP="00FA1E85">
      <w:pPr>
        <w:jc w:val="left"/>
      </w:pPr>
    </w:p>
    <w:p w14:paraId="25C2E703" w14:textId="77777777" w:rsidR="00177491" w:rsidRPr="00EB6871" w:rsidRDefault="00177491" w:rsidP="00FA1E85">
      <w:pPr>
        <w:pStyle w:val="Ttulo2"/>
        <w:jc w:val="left"/>
      </w:pPr>
      <w:bookmarkStart w:id="25" w:name="_Toc85297132"/>
      <w:r w:rsidRPr="00EB6871">
        <w:t>6.3. Activo corriente</w:t>
      </w:r>
      <w:bookmarkEnd w:id="25"/>
    </w:p>
    <w:p w14:paraId="484D6042" w14:textId="77777777" w:rsidR="00177491" w:rsidRPr="00EB6871" w:rsidRDefault="00177491" w:rsidP="00FA1E85">
      <w:pPr>
        <w:jc w:val="left"/>
      </w:pPr>
    </w:p>
    <w:p w14:paraId="57F7A2C5" w14:textId="68A86465" w:rsidR="00177491" w:rsidRPr="003B086D" w:rsidRDefault="00177491" w:rsidP="00FA1E85">
      <w:pPr>
        <w:pStyle w:val="Prrafodelista"/>
        <w:numPr>
          <w:ilvl w:val="0"/>
          <w:numId w:val="20"/>
        </w:numPr>
        <w:jc w:val="left"/>
        <w:rPr>
          <w:rStyle w:val="nfasissutil"/>
        </w:rPr>
      </w:pPr>
      <w:r w:rsidRPr="003B086D">
        <w:rPr>
          <w:rStyle w:val="nfasissutil"/>
        </w:rPr>
        <w:t>Deudores</w:t>
      </w:r>
    </w:p>
    <w:p w14:paraId="522C32A9" w14:textId="21557F7D" w:rsidR="00177491" w:rsidRPr="00EB6871" w:rsidRDefault="00177491" w:rsidP="00FA1E85">
      <w:pPr>
        <w:jc w:val="left"/>
      </w:pPr>
      <w:r w:rsidRPr="00EB6871">
        <w:t>Esta partida representa la deuda de clientes a previsión de cierre del ejercicio 202</w:t>
      </w:r>
      <w:r w:rsidR="00E93799">
        <w:t>2</w:t>
      </w:r>
      <w:r w:rsidRPr="00EB6871">
        <w:t xml:space="preserve">. </w:t>
      </w:r>
      <w:r w:rsidR="00061C14" w:rsidRPr="00EB6871">
        <w:t>Respecto al 202</w:t>
      </w:r>
      <w:r w:rsidR="00E93799">
        <w:t>1</w:t>
      </w:r>
      <w:r w:rsidR="00061C14" w:rsidRPr="00EB6871">
        <w:t xml:space="preserve"> </w:t>
      </w:r>
      <w:r w:rsidR="00E93799">
        <w:t>no se prevén prácticamente variaciones</w:t>
      </w:r>
      <w:r w:rsidR="0030002A">
        <w:t xml:space="preserve">. </w:t>
      </w:r>
    </w:p>
    <w:p w14:paraId="7BF92B7F" w14:textId="5042B3C5" w:rsidR="00B40FBA" w:rsidRDefault="00B40FBA" w:rsidP="00FA1E85">
      <w:pPr>
        <w:pStyle w:val="Prrafodelista"/>
        <w:numPr>
          <w:ilvl w:val="0"/>
          <w:numId w:val="6"/>
        </w:numPr>
        <w:jc w:val="left"/>
      </w:pPr>
      <w:r w:rsidRPr="00EB6871">
        <w:t>Factura de diciembre de refacturación gastos a la Barcelona Mobile Ventures, SL, por valor de</w:t>
      </w:r>
      <w:r w:rsidR="00C71E1C">
        <w:t xml:space="preserve"> 3</w:t>
      </w:r>
      <w:r w:rsidRPr="00EB6871">
        <w:t xml:space="preserve"> k€</w:t>
      </w:r>
    </w:p>
    <w:p w14:paraId="103F2064" w14:textId="34A6AF8A" w:rsidR="00AA534C" w:rsidRDefault="00AA534C" w:rsidP="00FA1E85">
      <w:pPr>
        <w:spacing w:line="259" w:lineRule="auto"/>
        <w:jc w:val="left"/>
      </w:pPr>
      <w:r>
        <w:br w:type="page"/>
      </w:r>
    </w:p>
    <w:p w14:paraId="79A9162C" w14:textId="77777777" w:rsidR="00852DAB" w:rsidRPr="00EB6871" w:rsidRDefault="00852DAB" w:rsidP="00FA1E85">
      <w:pPr>
        <w:pStyle w:val="Prrafodelista"/>
        <w:ind w:left="1080"/>
        <w:jc w:val="left"/>
      </w:pPr>
    </w:p>
    <w:p w14:paraId="05C76863" w14:textId="7AD85B83" w:rsidR="00177491" w:rsidRPr="003B086D" w:rsidRDefault="00177491" w:rsidP="00FA1E85">
      <w:pPr>
        <w:pStyle w:val="Prrafodelista"/>
        <w:numPr>
          <w:ilvl w:val="0"/>
          <w:numId w:val="20"/>
        </w:numPr>
        <w:jc w:val="left"/>
        <w:rPr>
          <w:rStyle w:val="nfasissutil"/>
        </w:rPr>
      </w:pPr>
      <w:r w:rsidRPr="003B086D">
        <w:rPr>
          <w:rStyle w:val="nfasissutil"/>
        </w:rPr>
        <w:t>Administraciones Públicas deudoras</w:t>
      </w:r>
    </w:p>
    <w:p w14:paraId="4DFC4D65" w14:textId="5F9296FC" w:rsidR="00177491" w:rsidRDefault="00177491" w:rsidP="00FA1E85">
      <w:pPr>
        <w:jc w:val="left"/>
      </w:pPr>
      <w:r w:rsidRPr="001C2826">
        <w:t xml:space="preserve">Hay una variación del </w:t>
      </w:r>
      <w:r w:rsidR="00A17FF3">
        <w:t>6</w:t>
      </w:r>
      <w:r w:rsidR="003B34E7" w:rsidRPr="001C2826">
        <w:t>9</w:t>
      </w:r>
      <w:r w:rsidRPr="001C2826">
        <w:t>% (</w:t>
      </w:r>
      <w:r w:rsidR="00A17FF3">
        <w:t>682</w:t>
      </w:r>
      <w:r w:rsidRPr="001C2826">
        <w:t xml:space="preserve"> k€) que corresponde</w:t>
      </w:r>
      <w:r w:rsidRPr="00EB6871">
        <w:t xml:space="preserve"> a las subvenciones concedidas pendientes de recibir de </w:t>
      </w:r>
      <w:r w:rsidR="0065362D">
        <w:t>Proyectos Europeos</w:t>
      </w:r>
      <w:r w:rsidRPr="00EB6871">
        <w:t xml:space="preserve"> durante el año 202</w:t>
      </w:r>
      <w:r w:rsidR="003B34E7">
        <w:t>2</w:t>
      </w:r>
      <w:r w:rsidRPr="00EB6871">
        <w:t xml:space="preserve">. </w:t>
      </w:r>
      <w:r w:rsidR="001C2826">
        <w:t xml:space="preserve">A </w:t>
      </w:r>
      <w:r w:rsidR="00FC256D">
        <w:t>continuación,</w:t>
      </w:r>
      <w:r w:rsidR="001C2826">
        <w:t xml:space="preserve"> se detalla:</w:t>
      </w:r>
    </w:p>
    <w:tbl>
      <w:tblPr>
        <w:tblW w:w="6179" w:type="dxa"/>
        <w:tblCellMar>
          <w:left w:w="70" w:type="dxa"/>
          <w:right w:w="70" w:type="dxa"/>
        </w:tblCellMar>
        <w:tblLook w:val="04A0" w:firstRow="1" w:lastRow="0" w:firstColumn="1" w:lastColumn="0" w:noHBand="0" w:noVBand="1"/>
      </w:tblPr>
      <w:tblGrid>
        <w:gridCol w:w="1701"/>
        <w:gridCol w:w="1725"/>
        <w:gridCol w:w="1381"/>
        <w:gridCol w:w="1372"/>
      </w:tblGrid>
      <w:tr w:rsidR="00D645B8" w:rsidRPr="00D645B8" w14:paraId="0A5D4306" w14:textId="77777777" w:rsidTr="003C57DA">
        <w:trPr>
          <w:trHeight w:val="311"/>
        </w:trPr>
        <w:tc>
          <w:tcPr>
            <w:tcW w:w="1701" w:type="dxa"/>
            <w:tcBorders>
              <w:top w:val="nil"/>
              <w:left w:val="nil"/>
              <w:bottom w:val="nil"/>
              <w:right w:val="nil"/>
            </w:tcBorders>
            <w:shd w:val="clear" w:color="auto" w:fill="auto"/>
            <w:noWrap/>
            <w:vAlign w:val="bottom"/>
            <w:hideMark/>
          </w:tcPr>
          <w:p w14:paraId="128E9A01" w14:textId="77777777" w:rsidR="00D645B8" w:rsidRPr="00D645B8" w:rsidRDefault="00D645B8" w:rsidP="00D645B8">
            <w:pPr>
              <w:spacing w:after="0" w:line="240" w:lineRule="auto"/>
              <w:jc w:val="left"/>
              <w:rPr>
                <w:rFonts w:ascii="Calibri" w:eastAsia="Times New Roman" w:hAnsi="Calibri" w:cs="Calibri"/>
                <w:color w:val="000000"/>
                <w:sz w:val="16"/>
                <w:szCs w:val="16"/>
                <w:lang w:eastAsia="es-ES"/>
              </w:rPr>
            </w:pPr>
            <w:r w:rsidRPr="00D645B8">
              <w:rPr>
                <w:rFonts w:ascii="Calibri" w:eastAsia="Times New Roman" w:hAnsi="Calibri" w:cs="Calibri"/>
                <w:color w:val="000000"/>
                <w:sz w:val="16"/>
                <w:szCs w:val="16"/>
                <w:lang w:eastAsia="es-ES"/>
              </w:rPr>
              <w:t>000,s</w:t>
            </w:r>
          </w:p>
        </w:tc>
        <w:tc>
          <w:tcPr>
            <w:tcW w:w="1725" w:type="dxa"/>
            <w:tcBorders>
              <w:top w:val="single" w:sz="8" w:space="0" w:color="auto"/>
              <w:left w:val="single" w:sz="8" w:space="0" w:color="auto"/>
              <w:bottom w:val="single" w:sz="8" w:space="0" w:color="auto"/>
              <w:right w:val="nil"/>
            </w:tcBorders>
            <w:shd w:val="clear" w:color="000000" w:fill="D9D9D9"/>
            <w:noWrap/>
            <w:vAlign w:val="bottom"/>
            <w:hideMark/>
          </w:tcPr>
          <w:p w14:paraId="03B6C194" w14:textId="2D4CB501" w:rsidR="00D645B8" w:rsidRPr="00D645B8" w:rsidRDefault="003C57DA" w:rsidP="00D645B8">
            <w:pPr>
              <w:spacing w:after="0" w:line="240" w:lineRule="auto"/>
              <w:jc w:val="center"/>
              <w:rPr>
                <w:rFonts w:ascii="Calibri" w:eastAsia="Times New Roman" w:hAnsi="Calibri" w:cs="Calibri"/>
                <w:b/>
                <w:bCs/>
                <w:color w:val="000000"/>
                <w:sz w:val="22"/>
                <w:szCs w:val="22"/>
                <w:lang w:eastAsia="es-ES"/>
              </w:rPr>
            </w:pPr>
            <w:r>
              <w:rPr>
                <w:rFonts w:ascii="Calibri" w:eastAsia="Times New Roman" w:hAnsi="Calibri" w:cs="Calibri"/>
                <w:b/>
                <w:bCs/>
                <w:color w:val="000000"/>
                <w:sz w:val="22"/>
                <w:szCs w:val="22"/>
                <w:lang w:eastAsia="es-ES"/>
              </w:rPr>
              <w:t>Prev. c</w:t>
            </w:r>
            <w:r w:rsidR="00D645B8" w:rsidRPr="00D645B8">
              <w:rPr>
                <w:rFonts w:ascii="Calibri" w:eastAsia="Times New Roman" w:hAnsi="Calibri" w:cs="Calibri"/>
                <w:b/>
                <w:bCs/>
                <w:color w:val="000000"/>
                <w:sz w:val="22"/>
                <w:szCs w:val="22"/>
                <w:lang w:eastAsia="es-ES"/>
              </w:rPr>
              <w:t>ierre 2021</w:t>
            </w:r>
          </w:p>
        </w:tc>
        <w:tc>
          <w:tcPr>
            <w:tcW w:w="1381" w:type="dxa"/>
            <w:tcBorders>
              <w:top w:val="single" w:sz="8" w:space="0" w:color="auto"/>
              <w:left w:val="nil"/>
              <w:bottom w:val="single" w:sz="8" w:space="0" w:color="auto"/>
              <w:right w:val="nil"/>
            </w:tcBorders>
            <w:shd w:val="clear" w:color="000000" w:fill="D9D9D9"/>
            <w:noWrap/>
            <w:vAlign w:val="bottom"/>
            <w:hideMark/>
          </w:tcPr>
          <w:p w14:paraId="152CFA7F" w14:textId="77777777" w:rsidR="00D645B8" w:rsidRPr="00D645B8" w:rsidRDefault="00D645B8" w:rsidP="00D645B8">
            <w:pPr>
              <w:spacing w:after="0" w:line="240" w:lineRule="auto"/>
              <w:jc w:val="center"/>
              <w:rPr>
                <w:rFonts w:ascii="Calibri" w:eastAsia="Times New Roman" w:hAnsi="Calibri" w:cs="Calibri"/>
                <w:b/>
                <w:bCs/>
                <w:color w:val="000000"/>
                <w:sz w:val="22"/>
                <w:szCs w:val="22"/>
                <w:lang w:eastAsia="es-ES"/>
              </w:rPr>
            </w:pPr>
            <w:r w:rsidRPr="00D645B8">
              <w:rPr>
                <w:rFonts w:ascii="Calibri" w:eastAsia="Times New Roman" w:hAnsi="Calibri" w:cs="Calibri"/>
                <w:b/>
                <w:bCs/>
                <w:color w:val="000000"/>
                <w:sz w:val="22"/>
                <w:szCs w:val="22"/>
                <w:lang w:eastAsia="es-ES"/>
              </w:rPr>
              <w:t>Presu 2022</w:t>
            </w:r>
          </w:p>
        </w:tc>
        <w:tc>
          <w:tcPr>
            <w:tcW w:w="1372" w:type="dxa"/>
            <w:tcBorders>
              <w:top w:val="single" w:sz="8" w:space="0" w:color="auto"/>
              <w:left w:val="nil"/>
              <w:bottom w:val="single" w:sz="8" w:space="0" w:color="auto"/>
              <w:right w:val="single" w:sz="8" w:space="0" w:color="auto"/>
            </w:tcBorders>
            <w:shd w:val="clear" w:color="000000" w:fill="D9D9D9"/>
            <w:noWrap/>
            <w:vAlign w:val="bottom"/>
            <w:hideMark/>
          </w:tcPr>
          <w:p w14:paraId="7992A8A9" w14:textId="77777777" w:rsidR="00D645B8" w:rsidRPr="00D645B8" w:rsidRDefault="00D645B8" w:rsidP="00D645B8">
            <w:pPr>
              <w:spacing w:after="0" w:line="240" w:lineRule="auto"/>
              <w:jc w:val="center"/>
              <w:rPr>
                <w:rFonts w:ascii="Calibri" w:eastAsia="Times New Roman" w:hAnsi="Calibri" w:cs="Calibri"/>
                <w:b/>
                <w:bCs/>
                <w:color w:val="000000"/>
                <w:sz w:val="22"/>
                <w:szCs w:val="22"/>
                <w:lang w:eastAsia="es-ES"/>
              </w:rPr>
            </w:pPr>
            <w:r w:rsidRPr="00D645B8">
              <w:rPr>
                <w:rFonts w:ascii="Calibri" w:eastAsia="Times New Roman" w:hAnsi="Calibri" w:cs="Calibri"/>
                <w:b/>
                <w:bCs/>
                <w:color w:val="000000"/>
                <w:sz w:val="22"/>
                <w:szCs w:val="22"/>
                <w:lang w:eastAsia="es-ES"/>
              </w:rPr>
              <w:t>Diferencia</w:t>
            </w:r>
          </w:p>
        </w:tc>
      </w:tr>
      <w:tr w:rsidR="00D645B8" w:rsidRPr="00D645B8" w14:paraId="63AA1B93" w14:textId="77777777" w:rsidTr="003C57DA">
        <w:trPr>
          <w:trHeight w:val="296"/>
        </w:trPr>
        <w:tc>
          <w:tcPr>
            <w:tcW w:w="1701" w:type="dxa"/>
            <w:tcBorders>
              <w:top w:val="single" w:sz="8" w:space="0" w:color="auto"/>
              <w:left w:val="single" w:sz="8" w:space="0" w:color="auto"/>
              <w:bottom w:val="nil"/>
              <w:right w:val="nil"/>
            </w:tcBorders>
            <w:shd w:val="clear" w:color="auto" w:fill="auto"/>
            <w:noWrap/>
            <w:vAlign w:val="bottom"/>
            <w:hideMark/>
          </w:tcPr>
          <w:p w14:paraId="36E0F8C0" w14:textId="77777777" w:rsidR="00D645B8" w:rsidRPr="00D645B8" w:rsidRDefault="00D645B8" w:rsidP="00D645B8">
            <w:pPr>
              <w:spacing w:after="0" w:line="240" w:lineRule="auto"/>
              <w:jc w:val="left"/>
              <w:rPr>
                <w:rFonts w:ascii="Calibri" w:eastAsia="Times New Roman" w:hAnsi="Calibri" w:cs="Calibri"/>
                <w:b/>
                <w:bCs/>
                <w:color w:val="000000"/>
                <w:sz w:val="22"/>
                <w:szCs w:val="22"/>
                <w:lang w:eastAsia="es-ES"/>
              </w:rPr>
            </w:pPr>
            <w:r w:rsidRPr="00D645B8">
              <w:rPr>
                <w:rFonts w:ascii="Calibri" w:eastAsia="Times New Roman" w:hAnsi="Calibri" w:cs="Calibri"/>
                <w:b/>
                <w:bCs/>
                <w:color w:val="000000"/>
                <w:sz w:val="22"/>
                <w:szCs w:val="22"/>
                <w:lang w:eastAsia="es-ES"/>
              </w:rPr>
              <w:t>5GMED</w:t>
            </w:r>
          </w:p>
        </w:tc>
        <w:tc>
          <w:tcPr>
            <w:tcW w:w="1725" w:type="dxa"/>
            <w:tcBorders>
              <w:top w:val="nil"/>
              <w:left w:val="nil"/>
              <w:bottom w:val="nil"/>
              <w:right w:val="nil"/>
            </w:tcBorders>
            <w:shd w:val="clear" w:color="auto" w:fill="auto"/>
            <w:noWrap/>
            <w:vAlign w:val="bottom"/>
            <w:hideMark/>
          </w:tcPr>
          <w:p w14:paraId="6FB3A0BC" w14:textId="77777777" w:rsidR="00D645B8" w:rsidRPr="00D645B8" w:rsidRDefault="00D645B8" w:rsidP="00D645B8">
            <w:pPr>
              <w:spacing w:after="0" w:line="240" w:lineRule="auto"/>
              <w:jc w:val="center"/>
              <w:rPr>
                <w:rFonts w:ascii="Calibri" w:eastAsia="Times New Roman" w:hAnsi="Calibri" w:cs="Calibri"/>
                <w:color w:val="000000"/>
                <w:sz w:val="22"/>
                <w:szCs w:val="22"/>
                <w:lang w:eastAsia="es-ES"/>
              </w:rPr>
            </w:pPr>
            <w:r w:rsidRPr="00D645B8">
              <w:rPr>
                <w:rFonts w:ascii="Calibri" w:eastAsia="Times New Roman" w:hAnsi="Calibri" w:cs="Calibri"/>
                <w:color w:val="000000"/>
                <w:sz w:val="22"/>
                <w:szCs w:val="22"/>
                <w:lang w:eastAsia="es-ES"/>
              </w:rPr>
              <w:t>153</w:t>
            </w:r>
          </w:p>
        </w:tc>
        <w:tc>
          <w:tcPr>
            <w:tcW w:w="1381" w:type="dxa"/>
            <w:tcBorders>
              <w:top w:val="nil"/>
              <w:left w:val="nil"/>
              <w:bottom w:val="nil"/>
              <w:right w:val="nil"/>
            </w:tcBorders>
            <w:shd w:val="clear" w:color="auto" w:fill="auto"/>
            <w:noWrap/>
            <w:vAlign w:val="bottom"/>
            <w:hideMark/>
          </w:tcPr>
          <w:p w14:paraId="592A34F8" w14:textId="77777777" w:rsidR="00D645B8" w:rsidRPr="00D645B8" w:rsidRDefault="00D645B8" w:rsidP="00D645B8">
            <w:pPr>
              <w:spacing w:after="0" w:line="240" w:lineRule="auto"/>
              <w:jc w:val="center"/>
              <w:rPr>
                <w:rFonts w:ascii="Calibri" w:eastAsia="Times New Roman" w:hAnsi="Calibri" w:cs="Calibri"/>
                <w:color w:val="000000"/>
                <w:sz w:val="22"/>
                <w:szCs w:val="22"/>
                <w:lang w:eastAsia="es-ES"/>
              </w:rPr>
            </w:pPr>
            <w:r w:rsidRPr="00D645B8">
              <w:rPr>
                <w:rFonts w:ascii="Calibri" w:eastAsia="Times New Roman" w:hAnsi="Calibri" w:cs="Calibri"/>
                <w:color w:val="000000"/>
                <w:sz w:val="22"/>
                <w:szCs w:val="22"/>
                <w:lang w:eastAsia="es-ES"/>
              </w:rPr>
              <w:t>153</w:t>
            </w:r>
          </w:p>
        </w:tc>
        <w:tc>
          <w:tcPr>
            <w:tcW w:w="1372" w:type="dxa"/>
            <w:tcBorders>
              <w:top w:val="nil"/>
              <w:left w:val="nil"/>
              <w:bottom w:val="nil"/>
              <w:right w:val="single" w:sz="8" w:space="0" w:color="auto"/>
            </w:tcBorders>
            <w:shd w:val="clear" w:color="auto" w:fill="auto"/>
            <w:noWrap/>
            <w:vAlign w:val="bottom"/>
            <w:hideMark/>
          </w:tcPr>
          <w:p w14:paraId="433F04DB" w14:textId="77777777" w:rsidR="00D645B8" w:rsidRPr="00D645B8" w:rsidRDefault="00D645B8" w:rsidP="00D645B8">
            <w:pPr>
              <w:spacing w:after="0" w:line="240" w:lineRule="auto"/>
              <w:jc w:val="center"/>
              <w:rPr>
                <w:rFonts w:ascii="Calibri" w:eastAsia="Times New Roman" w:hAnsi="Calibri" w:cs="Calibri"/>
                <w:color w:val="000000"/>
                <w:sz w:val="22"/>
                <w:szCs w:val="22"/>
                <w:lang w:eastAsia="es-ES"/>
              </w:rPr>
            </w:pPr>
            <w:r w:rsidRPr="00D645B8">
              <w:rPr>
                <w:rFonts w:ascii="Calibri" w:eastAsia="Times New Roman" w:hAnsi="Calibri" w:cs="Calibri"/>
                <w:color w:val="000000"/>
                <w:sz w:val="22"/>
                <w:szCs w:val="22"/>
                <w:lang w:eastAsia="es-ES"/>
              </w:rPr>
              <w:t>0</w:t>
            </w:r>
          </w:p>
        </w:tc>
      </w:tr>
      <w:tr w:rsidR="00D645B8" w:rsidRPr="00D645B8" w14:paraId="61DE9A34" w14:textId="77777777" w:rsidTr="003C57DA">
        <w:trPr>
          <w:trHeight w:val="296"/>
        </w:trPr>
        <w:tc>
          <w:tcPr>
            <w:tcW w:w="1701" w:type="dxa"/>
            <w:tcBorders>
              <w:top w:val="nil"/>
              <w:left w:val="single" w:sz="8" w:space="0" w:color="auto"/>
              <w:bottom w:val="nil"/>
              <w:right w:val="nil"/>
            </w:tcBorders>
            <w:shd w:val="clear" w:color="auto" w:fill="auto"/>
            <w:noWrap/>
            <w:vAlign w:val="bottom"/>
            <w:hideMark/>
          </w:tcPr>
          <w:p w14:paraId="0FF0C453" w14:textId="77777777" w:rsidR="00D645B8" w:rsidRPr="00D645B8" w:rsidRDefault="00D645B8" w:rsidP="00D645B8">
            <w:pPr>
              <w:spacing w:after="0" w:line="240" w:lineRule="auto"/>
              <w:jc w:val="left"/>
              <w:rPr>
                <w:rFonts w:ascii="Calibri" w:eastAsia="Times New Roman" w:hAnsi="Calibri" w:cs="Calibri"/>
                <w:b/>
                <w:bCs/>
                <w:color w:val="000000"/>
                <w:sz w:val="22"/>
                <w:szCs w:val="22"/>
                <w:lang w:eastAsia="es-ES"/>
              </w:rPr>
            </w:pPr>
            <w:r w:rsidRPr="00D645B8">
              <w:rPr>
                <w:rFonts w:ascii="Calibri" w:eastAsia="Times New Roman" w:hAnsi="Calibri" w:cs="Calibri"/>
                <w:b/>
                <w:bCs/>
                <w:color w:val="000000"/>
                <w:sz w:val="22"/>
                <w:szCs w:val="22"/>
                <w:lang w:eastAsia="es-ES"/>
              </w:rPr>
              <w:t>Möbius</w:t>
            </w:r>
          </w:p>
        </w:tc>
        <w:tc>
          <w:tcPr>
            <w:tcW w:w="1725" w:type="dxa"/>
            <w:tcBorders>
              <w:top w:val="nil"/>
              <w:left w:val="nil"/>
              <w:bottom w:val="nil"/>
              <w:right w:val="nil"/>
            </w:tcBorders>
            <w:shd w:val="clear" w:color="auto" w:fill="auto"/>
            <w:noWrap/>
            <w:vAlign w:val="bottom"/>
            <w:hideMark/>
          </w:tcPr>
          <w:p w14:paraId="22A8698A" w14:textId="77777777" w:rsidR="00D645B8" w:rsidRPr="00D645B8" w:rsidRDefault="00D645B8" w:rsidP="00D645B8">
            <w:pPr>
              <w:spacing w:after="0" w:line="240" w:lineRule="auto"/>
              <w:jc w:val="center"/>
              <w:rPr>
                <w:rFonts w:ascii="Calibri" w:eastAsia="Times New Roman" w:hAnsi="Calibri" w:cs="Calibri"/>
                <w:color w:val="000000"/>
                <w:sz w:val="22"/>
                <w:szCs w:val="22"/>
                <w:lang w:eastAsia="es-ES"/>
              </w:rPr>
            </w:pPr>
            <w:r w:rsidRPr="00D645B8">
              <w:rPr>
                <w:rFonts w:ascii="Calibri" w:eastAsia="Times New Roman" w:hAnsi="Calibri" w:cs="Calibri"/>
                <w:color w:val="000000"/>
                <w:sz w:val="22"/>
                <w:szCs w:val="22"/>
                <w:lang w:eastAsia="es-ES"/>
              </w:rPr>
              <w:t>181</w:t>
            </w:r>
          </w:p>
        </w:tc>
        <w:tc>
          <w:tcPr>
            <w:tcW w:w="1381" w:type="dxa"/>
            <w:tcBorders>
              <w:top w:val="nil"/>
              <w:left w:val="nil"/>
              <w:bottom w:val="nil"/>
              <w:right w:val="nil"/>
            </w:tcBorders>
            <w:shd w:val="clear" w:color="auto" w:fill="auto"/>
            <w:noWrap/>
            <w:vAlign w:val="bottom"/>
            <w:hideMark/>
          </w:tcPr>
          <w:p w14:paraId="31E58E41" w14:textId="77777777" w:rsidR="00D645B8" w:rsidRPr="00D645B8" w:rsidRDefault="00D645B8" w:rsidP="00D645B8">
            <w:pPr>
              <w:spacing w:after="0" w:line="240" w:lineRule="auto"/>
              <w:jc w:val="center"/>
              <w:rPr>
                <w:rFonts w:ascii="Calibri" w:eastAsia="Times New Roman" w:hAnsi="Calibri" w:cs="Calibri"/>
                <w:color w:val="000000"/>
                <w:sz w:val="22"/>
                <w:szCs w:val="22"/>
                <w:lang w:eastAsia="es-ES"/>
              </w:rPr>
            </w:pPr>
            <w:r w:rsidRPr="00D645B8">
              <w:rPr>
                <w:rFonts w:ascii="Calibri" w:eastAsia="Times New Roman" w:hAnsi="Calibri" w:cs="Calibri"/>
                <w:color w:val="000000"/>
                <w:sz w:val="22"/>
                <w:szCs w:val="22"/>
                <w:lang w:eastAsia="es-ES"/>
              </w:rPr>
              <w:t>181</w:t>
            </w:r>
          </w:p>
        </w:tc>
        <w:tc>
          <w:tcPr>
            <w:tcW w:w="1372" w:type="dxa"/>
            <w:tcBorders>
              <w:top w:val="nil"/>
              <w:left w:val="nil"/>
              <w:bottom w:val="nil"/>
              <w:right w:val="single" w:sz="8" w:space="0" w:color="auto"/>
            </w:tcBorders>
            <w:shd w:val="clear" w:color="auto" w:fill="auto"/>
            <w:noWrap/>
            <w:vAlign w:val="bottom"/>
            <w:hideMark/>
          </w:tcPr>
          <w:p w14:paraId="4E8F1327" w14:textId="77777777" w:rsidR="00D645B8" w:rsidRPr="00D645B8" w:rsidRDefault="00D645B8" w:rsidP="00D645B8">
            <w:pPr>
              <w:spacing w:after="0" w:line="240" w:lineRule="auto"/>
              <w:jc w:val="center"/>
              <w:rPr>
                <w:rFonts w:ascii="Calibri" w:eastAsia="Times New Roman" w:hAnsi="Calibri" w:cs="Calibri"/>
                <w:color w:val="000000"/>
                <w:sz w:val="22"/>
                <w:szCs w:val="22"/>
                <w:lang w:eastAsia="es-ES"/>
              </w:rPr>
            </w:pPr>
            <w:r w:rsidRPr="00D645B8">
              <w:rPr>
                <w:rFonts w:ascii="Calibri" w:eastAsia="Times New Roman" w:hAnsi="Calibri" w:cs="Calibri"/>
                <w:color w:val="000000"/>
                <w:sz w:val="22"/>
                <w:szCs w:val="22"/>
                <w:lang w:eastAsia="es-ES"/>
              </w:rPr>
              <w:t>0</w:t>
            </w:r>
          </w:p>
        </w:tc>
      </w:tr>
      <w:tr w:rsidR="00D645B8" w:rsidRPr="00D645B8" w14:paraId="788D425B" w14:textId="77777777" w:rsidTr="003C57DA">
        <w:trPr>
          <w:trHeight w:val="296"/>
        </w:trPr>
        <w:tc>
          <w:tcPr>
            <w:tcW w:w="1701" w:type="dxa"/>
            <w:tcBorders>
              <w:top w:val="nil"/>
              <w:left w:val="single" w:sz="8" w:space="0" w:color="auto"/>
              <w:bottom w:val="nil"/>
              <w:right w:val="nil"/>
            </w:tcBorders>
            <w:shd w:val="clear" w:color="auto" w:fill="auto"/>
            <w:noWrap/>
            <w:vAlign w:val="bottom"/>
            <w:hideMark/>
          </w:tcPr>
          <w:p w14:paraId="33CEB155" w14:textId="77777777" w:rsidR="00D645B8" w:rsidRPr="00D645B8" w:rsidRDefault="00D645B8" w:rsidP="00D645B8">
            <w:pPr>
              <w:spacing w:after="0" w:line="240" w:lineRule="auto"/>
              <w:jc w:val="left"/>
              <w:rPr>
                <w:rFonts w:ascii="Calibri" w:eastAsia="Times New Roman" w:hAnsi="Calibri" w:cs="Calibri"/>
                <w:b/>
                <w:bCs/>
                <w:color w:val="000000"/>
                <w:sz w:val="22"/>
                <w:szCs w:val="22"/>
                <w:lang w:eastAsia="es-ES"/>
              </w:rPr>
            </w:pPr>
            <w:r w:rsidRPr="00D645B8">
              <w:rPr>
                <w:rFonts w:ascii="Calibri" w:eastAsia="Times New Roman" w:hAnsi="Calibri" w:cs="Calibri"/>
                <w:b/>
                <w:bCs/>
                <w:color w:val="000000"/>
                <w:sz w:val="22"/>
                <w:szCs w:val="22"/>
                <w:lang w:eastAsia="es-ES"/>
              </w:rPr>
              <w:t>I4MS</w:t>
            </w:r>
          </w:p>
        </w:tc>
        <w:tc>
          <w:tcPr>
            <w:tcW w:w="1725" w:type="dxa"/>
            <w:tcBorders>
              <w:top w:val="nil"/>
              <w:left w:val="nil"/>
              <w:bottom w:val="nil"/>
              <w:right w:val="nil"/>
            </w:tcBorders>
            <w:shd w:val="clear" w:color="auto" w:fill="auto"/>
            <w:noWrap/>
            <w:vAlign w:val="bottom"/>
            <w:hideMark/>
          </w:tcPr>
          <w:p w14:paraId="1B75C7B3" w14:textId="77777777" w:rsidR="00D645B8" w:rsidRPr="00D645B8" w:rsidRDefault="00D645B8" w:rsidP="00D645B8">
            <w:pPr>
              <w:spacing w:after="0" w:line="240" w:lineRule="auto"/>
              <w:jc w:val="center"/>
              <w:rPr>
                <w:rFonts w:ascii="Calibri" w:eastAsia="Times New Roman" w:hAnsi="Calibri" w:cs="Calibri"/>
                <w:color w:val="000000"/>
                <w:sz w:val="22"/>
                <w:szCs w:val="22"/>
                <w:lang w:eastAsia="es-ES"/>
              </w:rPr>
            </w:pPr>
            <w:r w:rsidRPr="00D645B8">
              <w:rPr>
                <w:rFonts w:ascii="Calibri" w:eastAsia="Times New Roman" w:hAnsi="Calibri" w:cs="Calibri"/>
                <w:color w:val="000000"/>
                <w:sz w:val="22"/>
                <w:szCs w:val="22"/>
                <w:lang w:eastAsia="es-ES"/>
              </w:rPr>
              <w:t>101</w:t>
            </w:r>
          </w:p>
        </w:tc>
        <w:tc>
          <w:tcPr>
            <w:tcW w:w="1381" w:type="dxa"/>
            <w:tcBorders>
              <w:top w:val="nil"/>
              <w:left w:val="nil"/>
              <w:bottom w:val="nil"/>
              <w:right w:val="nil"/>
            </w:tcBorders>
            <w:shd w:val="clear" w:color="auto" w:fill="auto"/>
            <w:noWrap/>
            <w:vAlign w:val="bottom"/>
            <w:hideMark/>
          </w:tcPr>
          <w:p w14:paraId="107ACBE3" w14:textId="77777777" w:rsidR="00D645B8" w:rsidRPr="00D645B8" w:rsidRDefault="00D645B8" w:rsidP="00D645B8">
            <w:pPr>
              <w:spacing w:after="0" w:line="240" w:lineRule="auto"/>
              <w:jc w:val="center"/>
              <w:rPr>
                <w:rFonts w:ascii="Calibri" w:eastAsia="Times New Roman" w:hAnsi="Calibri" w:cs="Calibri"/>
                <w:color w:val="000000"/>
                <w:sz w:val="22"/>
                <w:szCs w:val="22"/>
                <w:lang w:eastAsia="es-ES"/>
              </w:rPr>
            </w:pPr>
            <w:r w:rsidRPr="00D645B8">
              <w:rPr>
                <w:rFonts w:ascii="Calibri" w:eastAsia="Times New Roman" w:hAnsi="Calibri" w:cs="Calibri"/>
                <w:color w:val="000000"/>
                <w:sz w:val="22"/>
                <w:szCs w:val="22"/>
                <w:lang w:eastAsia="es-ES"/>
              </w:rPr>
              <w:t>-</w:t>
            </w:r>
          </w:p>
        </w:tc>
        <w:tc>
          <w:tcPr>
            <w:tcW w:w="1372" w:type="dxa"/>
            <w:tcBorders>
              <w:top w:val="nil"/>
              <w:left w:val="nil"/>
              <w:bottom w:val="nil"/>
              <w:right w:val="single" w:sz="8" w:space="0" w:color="auto"/>
            </w:tcBorders>
            <w:shd w:val="clear" w:color="auto" w:fill="auto"/>
            <w:noWrap/>
            <w:vAlign w:val="bottom"/>
            <w:hideMark/>
          </w:tcPr>
          <w:p w14:paraId="51EC7D3C" w14:textId="6FDCAA9D" w:rsidR="00D645B8" w:rsidRPr="00D645B8" w:rsidRDefault="003C57DA" w:rsidP="00D645B8">
            <w:pPr>
              <w:spacing w:after="0" w:line="240" w:lineRule="auto"/>
              <w:jc w:val="center"/>
              <w:rPr>
                <w:rFonts w:ascii="Calibri" w:eastAsia="Times New Roman" w:hAnsi="Calibri" w:cs="Calibri"/>
                <w:color w:val="000000"/>
                <w:sz w:val="22"/>
                <w:szCs w:val="22"/>
                <w:lang w:eastAsia="es-ES"/>
              </w:rPr>
            </w:pPr>
            <w:r>
              <w:rPr>
                <w:rFonts w:ascii="Calibri" w:eastAsia="Times New Roman" w:hAnsi="Calibri" w:cs="Calibri"/>
                <w:color w:val="000000"/>
                <w:sz w:val="22"/>
                <w:szCs w:val="22"/>
                <w:lang w:eastAsia="es-ES"/>
              </w:rPr>
              <w:t>-</w:t>
            </w:r>
            <w:r w:rsidR="00D645B8" w:rsidRPr="00D645B8">
              <w:rPr>
                <w:rFonts w:ascii="Calibri" w:eastAsia="Times New Roman" w:hAnsi="Calibri" w:cs="Calibri"/>
                <w:color w:val="000000"/>
                <w:sz w:val="22"/>
                <w:szCs w:val="22"/>
                <w:lang w:eastAsia="es-ES"/>
              </w:rPr>
              <w:t>101</w:t>
            </w:r>
          </w:p>
        </w:tc>
      </w:tr>
      <w:tr w:rsidR="00D645B8" w:rsidRPr="00D645B8" w14:paraId="09DED2F6" w14:textId="77777777" w:rsidTr="003C57DA">
        <w:trPr>
          <w:trHeight w:val="296"/>
        </w:trPr>
        <w:tc>
          <w:tcPr>
            <w:tcW w:w="1701" w:type="dxa"/>
            <w:tcBorders>
              <w:top w:val="nil"/>
              <w:left w:val="single" w:sz="8" w:space="0" w:color="auto"/>
              <w:bottom w:val="nil"/>
              <w:right w:val="nil"/>
            </w:tcBorders>
            <w:shd w:val="clear" w:color="auto" w:fill="auto"/>
            <w:noWrap/>
            <w:vAlign w:val="bottom"/>
            <w:hideMark/>
          </w:tcPr>
          <w:p w14:paraId="5E379BE9" w14:textId="77777777" w:rsidR="00D645B8" w:rsidRPr="00D645B8" w:rsidRDefault="00D645B8" w:rsidP="00D645B8">
            <w:pPr>
              <w:spacing w:after="0" w:line="240" w:lineRule="auto"/>
              <w:jc w:val="left"/>
              <w:rPr>
                <w:rFonts w:ascii="Calibri" w:eastAsia="Times New Roman" w:hAnsi="Calibri" w:cs="Calibri"/>
                <w:b/>
                <w:bCs/>
                <w:color w:val="000000"/>
                <w:sz w:val="22"/>
                <w:szCs w:val="22"/>
                <w:lang w:eastAsia="es-ES"/>
              </w:rPr>
            </w:pPr>
            <w:r w:rsidRPr="00D645B8">
              <w:rPr>
                <w:rFonts w:ascii="Calibri" w:eastAsia="Times New Roman" w:hAnsi="Calibri" w:cs="Calibri"/>
                <w:b/>
                <w:bCs/>
                <w:color w:val="000000"/>
                <w:sz w:val="22"/>
                <w:szCs w:val="22"/>
                <w:lang w:eastAsia="es-ES"/>
              </w:rPr>
              <w:t>Better Factories</w:t>
            </w:r>
          </w:p>
        </w:tc>
        <w:tc>
          <w:tcPr>
            <w:tcW w:w="1725" w:type="dxa"/>
            <w:tcBorders>
              <w:top w:val="nil"/>
              <w:left w:val="nil"/>
              <w:bottom w:val="nil"/>
              <w:right w:val="nil"/>
            </w:tcBorders>
            <w:shd w:val="clear" w:color="auto" w:fill="auto"/>
            <w:noWrap/>
            <w:vAlign w:val="bottom"/>
            <w:hideMark/>
          </w:tcPr>
          <w:p w14:paraId="1665276B" w14:textId="77777777" w:rsidR="00D645B8" w:rsidRPr="00D645B8" w:rsidRDefault="00D645B8" w:rsidP="00D645B8">
            <w:pPr>
              <w:spacing w:after="0" w:line="240" w:lineRule="auto"/>
              <w:jc w:val="center"/>
              <w:rPr>
                <w:rFonts w:ascii="Calibri" w:eastAsia="Times New Roman" w:hAnsi="Calibri" w:cs="Calibri"/>
                <w:color w:val="000000"/>
                <w:sz w:val="22"/>
                <w:szCs w:val="22"/>
                <w:lang w:eastAsia="es-ES"/>
              </w:rPr>
            </w:pPr>
            <w:r w:rsidRPr="00D645B8">
              <w:rPr>
                <w:rFonts w:ascii="Calibri" w:eastAsia="Times New Roman" w:hAnsi="Calibri" w:cs="Calibri"/>
                <w:color w:val="000000"/>
                <w:sz w:val="22"/>
                <w:szCs w:val="22"/>
                <w:lang w:eastAsia="es-ES"/>
              </w:rPr>
              <w:t>304</w:t>
            </w:r>
          </w:p>
        </w:tc>
        <w:tc>
          <w:tcPr>
            <w:tcW w:w="1381" w:type="dxa"/>
            <w:tcBorders>
              <w:top w:val="nil"/>
              <w:left w:val="nil"/>
              <w:bottom w:val="nil"/>
              <w:right w:val="nil"/>
            </w:tcBorders>
            <w:shd w:val="clear" w:color="auto" w:fill="auto"/>
            <w:noWrap/>
            <w:vAlign w:val="bottom"/>
            <w:hideMark/>
          </w:tcPr>
          <w:p w14:paraId="41A5EB51" w14:textId="77777777" w:rsidR="00D645B8" w:rsidRPr="00D645B8" w:rsidRDefault="00D645B8" w:rsidP="00D645B8">
            <w:pPr>
              <w:spacing w:after="0" w:line="240" w:lineRule="auto"/>
              <w:jc w:val="center"/>
              <w:rPr>
                <w:rFonts w:ascii="Calibri" w:eastAsia="Times New Roman" w:hAnsi="Calibri" w:cs="Calibri"/>
                <w:color w:val="000000"/>
                <w:sz w:val="22"/>
                <w:szCs w:val="22"/>
                <w:lang w:eastAsia="es-ES"/>
              </w:rPr>
            </w:pPr>
            <w:r w:rsidRPr="00D645B8">
              <w:rPr>
                <w:rFonts w:ascii="Calibri" w:eastAsia="Times New Roman" w:hAnsi="Calibri" w:cs="Calibri"/>
                <w:color w:val="000000"/>
                <w:sz w:val="22"/>
                <w:szCs w:val="22"/>
                <w:lang w:eastAsia="es-ES"/>
              </w:rPr>
              <w:t>304</w:t>
            </w:r>
          </w:p>
        </w:tc>
        <w:tc>
          <w:tcPr>
            <w:tcW w:w="1372" w:type="dxa"/>
            <w:tcBorders>
              <w:top w:val="nil"/>
              <w:left w:val="nil"/>
              <w:bottom w:val="nil"/>
              <w:right w:val="single" w:sz="8" w:space="0" w:color="auto"/>
            </w:tcBorders>
            <w:shd w:val="clear" w:color="auto" w:fill="auto"/>
            <w:noWrap/>
            <w:vAlign w:val="bottom"/>
            <w:hideMark/>
          </w:tcPr>
          <w:p w14:paraId="15416C27" w14:textId="77777777" w:rsidR="00D645B8" w:rsidRPr="00D645B8" w:rsidRDefault="00D645B8" w:rsidP="00D645B8">
            <w:pPr>
              <w:spacing w:after="0" w:line="240" w:lineRule="auto"/>
              <w:jc w:val="center"/>
              <w:rPr>
                <w:rFonts w:ascii="Calibri" w:eastAsia="Times New Roman" w:hAnsi="Calibri" w:cs="Calibri"/>
                <w:color w:val="000000"/>
                <w:sz w:val="22"/>
                <w:szCs w:val="22"/>
                <w:lang w:eastAsia="es-ES"/>
              </w:rPr>
            </w:pPr>
            <w:r w:rsidRPr="00D645B8">
              <w:rPr>
                <w:rFonts w:ascii="Calibri" w:eastAsia="Times New Roman" w:hAnsi="Calibri" w:cs="Calibri"/>
                <w:color w:val="000000"/>
                <w:sz w:val="22"/>
                <w:szCs w:val="22"/>
                <w:lang w:eastAsia="es-ES"/>
              </w:rPr>
              <w:t>0</w:t>
            </w:r>
          </w:p>
        </w:tc>
      </w:tr>
      <w:tr w:rsidR="00D645B8" w:rsidRPr="00D645B8" w14:paraId="66AF6BA1" w14:textId="77777777" w:rsidTr="003C57DA">
        <w:trPr>
          <w:trHeight w:val="296"/>
        </w:trPr>
        <w:tc>
          <w:tcPr>
            <w:tcW w:w="1701" w:type="dxa"/>
            <w:tcBorders>
              <w:top w:val="nil"/>
              <w:left w:val="single" w:sz="8" w:space="0" w:color="auto"/>
              <w:bottom w:val="nil"/>
              <w:right w:val="nil"/>
            </w:tcBorders>
            <w:shd w:val="clear" w:color="auto" w:fill="auto"/>
            <w:noWrap/>
            <w:vAlign w:val="bottom"/>
            <w:hideMark/>
          </w:tcPr>
          <w:p w14:paraId="444FE316" w14:textId="77777777" w:rsidR="00D645B8" w:rsidRPr="00D645B8" w:rsidRDefault="00D645B8" w:rsidP="00D645B8">
            <w:pPr>
              <w:spacing w:after="0" w:line="240" w:lineRule="auto"/>
              <w:jc w:val="left"/>
              <w:rPr>
                <w:rFonts w:ascii="Calibri" w:eastAsia="Times New Roman" w:hAnsi="Calibri" w:cs="Calibri"/>
                <w:b/>
                <w:bCs/>
                <w:color w:val="000000"/>
                <w:sz w:val="22"/>
                <w:szCs w:val="22"/>
                <w:lang w:eastAsia="es-ES"/>
              </w:rPr>
            </w:pPr>
            <w:r w:rsidRPr="00D645B8">
              <w:rPr>
                <w:rFonts w:ascii="Calibri" w:eastAsia="Times New Roman" w:hAnsi="Calibri" w:cs="Calibri"/>
                <w:b/>
                <w:bCs/>
                <w:color w:val="000000"/>
                <w:sz w:val="22"/>
                <w:szCs w:val="22"/>
                <w:lang w:eastAsia="es-ES"/>
              </w:rPr>
              <w:t>Erasmus</w:t>
            </w:r>
          </w:p>
        </w:tc>
        <w:tc>
          <w:tcPr>
            <w:tcW w:w="1725" w:type="dxa"/>
            <w:tcBorders>
              <w:top w:val="nil"/>
              <w:left w:val="nil"/>
              <w:bottom w:val="nil"/>
              <w:right w:val="nil"/>
            </w:tcBorders>
            <w:shd w:val="clear" w:color="auto" w:fill="auto"/>
            <w:noWrap/>
            <w:vAlign w:val="bottom"/>
            <w:hideMark/>
          </w:tcPr>
          <w:p w14:paraId="47C793EA" w14:textId="7F8A2B43" w:rsidR="00D645B8" w:rsidRPr="00D645B8" w:rsidRDefault="003C57DA" w:rsidP="003C57DA">
            <w:pPr>
              <w:spacing w:after="0" w:line="240" w:lineRule="auto"/>
              <w:jc w:val="center"/>
              <w:rPr>
                <w:rFonts w:ascii="Calibri" w:eastAsia="Times New Roman" w:hAnsi="Calibri" w:cs="Calibri"/>
                <w:b/>
                <w:bCs/>
                <w:color w:val="000000"/>
                <w:sz w:val="22"/>
                <w:szCs w:val="22"/>
                <w:lang w:eastAsia="es-ES"/>
              </w:rPr>
            </w:pPr>
            <w:r>
              <w:rPr>
                <w:rFonts w:ascii="Calibri" w:eastAsia="Times New Roman" w:hAnsi="Calibri" w:cs="Calibri"/>
                <w:b/>
                <w:bCs/>
                <w:color w:val="000000"/>
                <w:sz w:val="22"/>
                <w:szCs w:val="22"/>
                <w:lang w:eastAsia="es-ES"/>
              </w:rPr>
              <w:t>-</w:t>
            </w:r>
          </w:p>
        </w:tc>
        <w:tc>
          <w:tcPr>
            <w:tcW w:w="1381" w:type="dxa"/>
            <w:tcBorders>
              <w:top w:val="nil"/>
              <w:left w:val="nil"/>
              <w:bottom w:val="nil"/>
              <w:right w:val="nil"/>
            </w:tcBorders>
            <w:shd w:val="clear" w:color="auto" w:fill="auto"/>
            <w:noWrap/>
            <w:vAlign w:val="bottom"/>
            <w:hideMark/>
          </w:tcPr>
          <w:p w14:paraId="4E825871" w14:textId="77777777" w:rsidR="00D645B8" w:rsidRPr="00D645B8" w:rsidRDefault="00D645B8" w:rsidP="00D645B8">
            <w:pPr>
              <w:spacing w:after="0" w:line="240" w:lineRule="auto"/>
              <w:jc w:val="center"/>
              <w:rPr>
                <w:rFonts w:ascii="Calibri" w:eastAsia="Times New Roman" w:hAnsi="Calibri" w:cs="Calibri"/>
                <w:color w:val="000000"/>
                <w:sz w:val="22"/>
                <w:szCs w:val="22"/>
                <w:lang w:eastAsia="es-ES"/>
              </w:rPr>
            </w:pPr>
            <w:r w:rsidRPr="00D645B8">
              <w:rPr>
                <w:rFonts w:ascii="Calibri" w:eastAsia="Times New Roman" w:hAnsi="Calibri" w:cs="Calibri"/>
                <w:color w:val="000000"/>
                <w:sz w:val="22"/>
                <w:szCs w:val="22"/>
                <w:lang w:eastAsia="es-ES"/>
              </w:rPr>
              <w:t>35</w:t>
            </w:r>
          </w:p>
        </w:tc>
        <w:tc>
          <w:tcPr>
            <w:tcW w:w="1372" w:type="dxa"/>
            <w:tcBorders>
              <w:top w:val="nil"/>
              <w:left w:val="nil"/>
              <w:bottom w:val="nil"/>
              <w:right w:val="single" w:sz="8" w:space="0" w:color="auto"/>
            </w:tcBorders>
            <w:shd w:val="clear" w:color="auto" w:fill="auto"/>
            <w:noWrap/>
            <w:vAlign w:val="bottom"/>
            <w:hideMark/>
          </w:tcPr>
          <w:p w14:paraId="7987B81F" w14:textId="7A2EC8DC" w:rsidR="00D645B8" w:rsidRPr="00D645B8" w:rsidRDefault="00D645B8" w:rsidP="00D645B8">
            <w:pPr>
              <w:spacing w:after="0" w:line="240" w:lineRule="auto"/>
              <w:jc w:val="center"/>
              <w:rPr>
                <w:rFonts w:ascii="Calibri" w:eastAsia="Times New Roman" w:hAnsi="Calibri" w:cs="Calibri"/>
                <w:color w:val="000000"/>
                <w:sz w:val="22"/>
                <w:szCs w:val="22"/>
                <w:lang w:eastAsia="es-ES"/>
              </w:rPr>
            </w:pPr>
            <w:r w:rsidRPr="00D645B8">
              <w:rPr>
                <w:rFonts w:ascii="Calibri" w:eastAsia="Times New Roman" w:hAnsi="Calibri" w:cs="Calibri"/>
                <w:color w:val="000000"/>
                <w:sz w:val="22"/>
                <w:szCs w:val="22"/>
                <w:lang w:eastAsia="es-ES"/>
              </w:rPr>
              <w:t>35</w:t>
            </w:r>
          </w:p>
        </w:tc>
      </w:tr>
      <w:tr w:rsidR="00D645B8" w:rsidRPr="00D645B8" w14:paraId="036A03AF" w14:textId="77777777" w:rsidTr="003C57DA">
        <w:trPr>
          <w:trHeight w:val="296"/>
        </w:trPr>
        <w:tc>
          <w:tcPr>
            <w:tcW w:w="1701" w:type="dxa"/>
            <w:tcBorders>
              <w:top w:val="nil"/>
              <w:left w:val="single" w:sz="8" w:space="0" w:color="auto"/>
              <w:bottom w:val="nil"/>
              <w:right w:val="nil"/>
            </w:tcBorders>
            <w:shd w:val="clear" w:color="auto" w:fill="auto"/>
            <w:noWrap/>
            <w:vAlign w:val="bottom"/>
            <w:hideMark/>
          </w:tcPr>
          <w:p w14:paraId="72C0EEC1" w14:textId="77777777" w:rsidR="00D645B8" w:rsidRPr="00D645B8" w:rsidRDefault="00D645B8" w:rsidP="00D645B8">
            <w:pPr>
              <w:spacing w:after="0" w:line="240" w:lineRule="auto"/>
              <w:jc w:val="left"/>
              <w:rPr>
                <w:rFonts w:ascii="Calibri" w:eastAsia="Times New Roman" w:hAnsi="Calibri" w:cs="Calibri"/>
                <w:b/>
                <w:bCs/>
                <w:color w:val="000000"/>
                <w:sz w:val="22"/>
                <w:szCs w:val="22"/>
                <w:lang w:eastAsia="es-ES"/>
              </w:rPr>
            </w:pPr>
            <w:r w:rsidRPr="00D645B8">
              <w:rPr>
                <w:rFonts w:ascii="Calibri" w:eastAsia="Times New Roman" w:hAnsi="Calibri" w:cs="Calibri"/>
                <w:b/>
                <w:bCs/>
                <w:color w:val="000000"/>
                <w:sz w:val="22"/>
                <w:szCs w:val="22"/>
                <w:lang w:eastAsia="es-ES"/>
              </w:rPr>
              <w:t>ON5G</w:t>
            </w:r>
          </w:p>
        </w:tc>
        <w:tc>
          <w:tcPr>
            <w:tcW w:w="1725" w:type="dxa"/>
            <w:tcBorders>
              <w:top w:val="nil"/>
              <w:left w:val="nil"/>
              <w:bottom w:val="nil"/>
              <w:right w:val="nil"/>
            </w:tcBorders>
            <w:shd w:val="clear" w:color="auto" w:fill="auto"/>
            <w:noWrap/>
            <w:vAlign w:val="bottom"/>
            <w:hideMark/>
          </w:tcPr>
          <w:p w14:paraId="6E945833" w14:textId="16AD5689" w:rsidR="00D645B8" w:rsidRPr="00D645B8" w:rsidRDefault="003C57DA" w:rsidP="003C57DA">
            <w:pPr>
              <w:spacing w:after="0" w:line="240" w:lineRule="auto"/>
              <w:jc w:val="center"/>
              <w:rPr>
                <w:rFonts w:ascii="Calibri" w:eastAsia="Times New Roman" w:hAnsi="Calibri" w:cs="Calibri"/>
                <w:b/>
                <w:bCs/>
                <w:color w:val="000000"/>
                <w:sz w:val="22"/>
                <w:szCs w:val="22"/>
                <w:lang w:eastAsia="es-ES"/>
              </w:rPr>
            </w:pPr>
            <w:r>
              <w:rPr>
                <w:rFonts w:ascii="Calibri" w:eastAsia="Times New Roman" w:hAnsi="Calibri" w:cs="Calibri"/>
                <w:b/>
                <w:bCs/>
                <w:color w:val="000000"/>
                <w:sz w:val="22"/>
                <w:szCs w:val="22"/>
                <w:lang w:eastAsia="es-ES"/>
              </w:rPr>
              <w:t>-</w:t>
            </w:r>
          </w:p>
        </w:tc>
        <w:tc>
          <w:tcPr>
            <w:tcW w:w="1381" w:type="dxa"/>
            <w:tcBorders>
              <w:top w:val="nil"/>
              <w:left w:val="nil"/>
              <w:bottom w:val="nil"/>
              <w:right w:val="nil"/>
            </w:tcBorders>
            <w:shd w:val="clear" w:color="auto" w:fill="auto"/>
            <w:noWrap/>
            <w:vAlign w:val="bottom"/>
            <w:hideMark/>
          </w:tcPr>
          <w:p w14:paraId="4C08808E" w14:textId="77777777" w:rsidR="00D645B8" w:rsidRPr="00D645B8" w:rsidRDefault="00D645B8" w:rsidP="00D645B8">
            <w:pPr>
              <w:spacing w:after="0" w:line="240" w:lineRule="auto"/>
              <w:jc w:val="center"/>
              <w:rPr>
                <w:rFonts w:ascii="Calibri" w:eastAsia="Times New Roman" w:hAnsi="Calibri" w:cs="Calibri"/>
                <w:color w:val="000000"/>
                <w:sz w:val="22"/>
                <w:szCs w:val="22"/>
                <w:lang w:eastAsia="es-ES"/>
              </w:rPr>
            </w:pPr>
            <w:r w:rsidRPr="00D645B8">
              <w:rPr>
                <w:rFonts w:ascii="Calibri" w:eastAsia="Times New Roman" w:hAnsi="Calibri" w:cs="Calibri"/>
                <w:color w:val="000000"/>
                <w:sz w:val="22"/>
                <w:szCs w:val="22"/>
                <w:lang w:eastAsia="es-ES"/>
              </w:rPr>
              <w:t>600</w:t>
            </w:r>
          </w:p>
        </w:tc>
        <w:tc>
          <w:tcPr>
            <w:tcW w:w="1372" w:type="dxa"/>
            <w:tcBorders>
              <w:top w:val="nil"/>
              <w:left w:val="nil"/>
              <w:bottom w:val="nil"/>
              <w:right w:val="single" w:sz="8" w:space="0" w:color="auto"/>
            </w:tcBorders>
            <w:shd w:val="clear" w:color="auto" w:fill="auto"/>
            <w:noWrap/>
            <w:vAlign w:val="bottom"/>
            <w:hideMark/>
          </w:tcPr>
          <w:p w14:paraId="7D38B44E" w14:textId="595C5F72" w:rsidR="00D645B8" w:rsidRPr="00D645B8" w:rsidRDefault="00D645B8" w:rsidP="00D645B8">
            <w:pPr>
              <w:spacing w:after="0" w:line="240" w:lineRule="auto"/>
              <w:jc w:val="center"/>
              <w:rPr>
                <w:rFonts w:ascii="Calibri" w:eastAsia="Times New Roman" w:hAnsi="Calibri" w:cs="Calibri"/>
                <w:color w:val="000000"/>
                <w:sz w:val="22"/>
                <w:szCs w:val="22"/>
                <w:lang w:eastAsia="es-ES"/>
              </w:rPr>
            </w:pPr>
            <w:r w:rsidRPr="00D645B8">
              <w:rPr>
                <w:rFonts w:ascii="Calibri" w:eastAsia="Times New Roman" w:hAnsi="Calibri" w:cs="Calibri"/>
                <w:color w:val="000000"/>
                <w:sz w:val="22"/>
                <w:szCs w:val="22"/>
                <w:lang w:eastAsia="es-ES"/>
              </w:rPr>
              <w:t>600</w:t>
            </w:r>
          </w:p>
        </w:tc>
      </w:tr>
      <w:tr w:rsidR="00D645B8" w:rsidRPr="00D645B8" w14:paraId="58D6116C" w14:textId="77777777" w:rsidTr="003C57DA">
        <w:trPr>
          <w:trHeight w:val="311"/>
        </w:trPr>
        <w:tc>
          <w:tcPr>
            <w:tcW w:w="1701" w:type="dxa"/>
            <w:tcBorders>
              <w:top w:val="nil"/>
              <w:left w:val="single" w:sz="8" w:space="0" w:color="auto"/>
              <w:bottom w:val="single" w:sz="8" w:space="0" w:color="auto"/>
              <w:right w:val="nil"/>
            </w:tcBorders>
            <w:shd w:val="clear" w:color="auto" w:fill="auto"/>
            <w:noWrap/>
            <w:vAlign w:val="bottom"/>
            <w:hideMark/>
          </w:tcPr>
          <w:p w14:paraId="151C010E" w14:textId="77777777" w:rsidR="00D645B8" w:rsidRPr="00D645B8" w:rsidRDefault="00D645B8" w:rsidP="00D645B8">
            <w:pPr>
              <w:spacing w:after="0" w:line="240" w:lineRule="auto"/>
              <w:jc w:val="left"/>
              <w:rPr>
                <w:rFonts w:ascii="Calibri" w:eastAsia="Times New Roman" w:hAnsi="Calibri" w:cs="Calibri"/>
                <w:b/>
                <w:bCs/>
                <w:color w:val="000000"/>
                <w:sz w:val="22"/>
                <w:szCs w:val="22"/>
                <w:lang w:eastAsia="es-ES"/>
              </w:rPr>
            </w:pPr>
            <w:r w:rsidRPr="00D645B8">
              <w:rPr>
                <w:rFonts w:ascii="Calibri" w:eastAsia="Times New Roman" w:hAnsi="Calibri" w:cs="Calibri"/>
                <w:b/>
                <w:bCs/>
                <w:color w:val="000000"/>
                <w:sz w:val="22"/>
                <w:szCs w:val="22"/>
                <w:lang w:eastAsia="es-ES"/>
              </w:rPr>
              <w:t>5G/DT</w:t>
            </w:r>
          </w:p>
        </w:tc>
        <w:tc>
          <w:tcPr>
            <w:tcW w:w="1725" w:type="dxa"/>
            <w:tcBorders>
              <w:top w:val="nil"/>
              <w:left w:val="nil"/>
              <w:bottom w:val="single" w:sz="8" w:space="0" w:color="auto"/>
              <w:right w:val="nil"/>
            </w:tcBorders>
            <w:shd w:val="clear" w:color="auto" w:fill="auto"/>
            <w:noWrap/>
            <w:vAlign w:val="bottom"/>
            <w:hideMark/>
          </w:tcPr>
          <w:p w14:paraId="6E613D91" w14:textId="77777777" w:rsidR="00D645B8" w:rsidRPr="00D645B8" w:rsidRDefault="00D645B8" w:rsidP="00D645B8">
            <w:pPr>
              <w:spacing w:after="0" w:line="240" w:lineRule="auto"/>
              <w:jc w:val="center"/>
              <w:rPr>
                <w:rFonts w:ascii="Calibri" w:eastAsia="Times New Roman" w:hAnsi="Calibri" w:cs="Calibri"/>
                <w:color w:val="000000"/>
                <w:sz w:val="22"/>
                <w:szCs w:val="22"/>
                <w:lang w:eastAsia="es-ES"/>
              </w:rPr>
            </w:pPr>
            <w:r w:rsidRPr="00D645B8">
              <w:rPr>
                <w:rFonts w:ascii="Calibri" w:eastAsia="Times New Roman" w:hAnsi="Calibri" w:cs="Calibri"/>
                <w:color w:val="000000"/>
                <w:sz w:val="22"/>
                <w:szCs w:val="22"/>
                <w:lang w:eastAsia="es-ES"/>
              </w:rPr>
              <w:t>250</w:t>
            </w:r>
          </w:p>
        </w:tc>
        <w:tc>
          <w:tcPr>
            <w:tcW w:w="1381" w:type="dxa"/>
            <w:tcBorders>
              <w:top w:val="nil"/>
              <w:left w:val="nil"/>
              <w:bottom w:val="single" w:sz="8" w:space="0" w:color="auto"/>
              <w:right w:val="nil"/>
            </w:tcBorders>
            <w:shd w:val="clear" w:color="auto" w:fill="auto"/>
            <w:noWrap/>
            <w:vAlign w:val="bottom"/>
            <w:hideMark/>
          </w:tcPr>
          <w:p w14:paraId="2383C875" w14:textId="313C13B1" w:rsidR="00D645B8" w:rsidRPr="00D645B8" w:rsidRDefault="00A17FF3" w:rsidP="00D645B8">
            <w:pPr>
              <w:spacing w:after="0" w:line="240" w:lineRule="auto"/>
              <w:jc w:val="center"/>
              <w:rPr>
                <w:rFonts w:ascii="Calibri" w:eastAsia="Times New Roman" w:hAnsi="Calibri" w:cs="Calibri"/>
                <w:color w:val="000000"/>
                <w:sz w:val="22"/>
                <w:szCs w:val="22"/>
                <w:lang w:eastAsia="es-ES"/>
              </w:rPr>
            </w:pPr>
            <w:r>
              <w:rPr>
                <w:rFonts w:ascii="Calibri" w:eastAsia="Times New Roman" w:hAnsi="Calibri" w:cs="Calibri"/>
                <w:color w:val="000000"/>
                <w:sz w:val="22"/>
                <w:szCs w:val="22"/>
                <w:lang w:eastAsia="es-ES"/>
              </w:rPr>
              <w:t>4</w:t>
            </w:r>
            <w:r w:rsidR="00D645B8" w:rsidRPr="00D645B8">
              <w:rPr>
                <w:rFonts w:ascii="Calibri" w:eastAsia="Times New Roman" w:hAnsi="Calibri" w:cs="Calibri"/>
                <w:color w:val="000000"/>
                <w:sz w:val="22"/>
                <w:szCs w:val="22"/>
                <w:lang w:eastAsia="es-ES"/>
              </w:rPr>
              <w:t>00</w:t>
            </w:r>
          </w:p>
        </w:tc>
        <w:tc>
          <w:tcPr>
            <w:tcW w:w="1372" w:type="dxa"/>
            <w:tcBorders>
              <w:top w:val="nil"/>
              <w:left w:val="nil"/>
              <w:bottom w:val="single" w:sz="8" w:space="0" w:color="auto"/>
              <w:right w:val="single" w:sz="8" w:space="0" w:color="auto"/>
            </w:tcBorders>
            <w:shd w:val="clear" w:color="auto" w:fill="auto"/>
            <w:noWrap/>
            <w:vAlign w:val="bottom"/>
            <w:hideMark/>
          </w:tcPr>
          <w:p w14:paraId="11ADEFD2" w14:textId="6963BEA5" w:rsidR="00D645B8" w:rsidRPr="00D645B8" w:rsidRDefault="00A17FF3" w:rsidP="00D645B8">
            <w:pPr>
              <w:spacing w:after="0" w:line="240" w:lineRule="auto"/>
              <w:jc w:val="center"/>
              <w:rPr>
                <w:rFonts w:ascii="Calibri" w:eastAsia="Times New Roman" w:hAnsi="Calibri" w:cs="Calibri"/>
                <w:color w:val="000000"/>
                <w:sz w:val="22"/>
                <w:szCs w:val="22"/>
                <w:lang w:eastAsia="es-ES"/>
              </w:rPr>
            </w:pPr>
            <w:r>
              <w:rPr>
                <w:rFonts w:ascii="Calibri" w:eastAsia="Times New Roman" w:hAnsi="Calibri" w:cs="Calibri"/>
                <w:color w:val="000000"/>
                <w:sz w:val="22"/>
                <w:szCs w:val="22"/>
                <w:lang w:eastAsia="es-ES"/>
              </w:rPr>
              <w:t>1</w:t>
            </w:r>
            <w:r w:rsidR="00D645B8" w:rsidRPr="00D645B8">
              <w:rPr>
                <w:rFonts w:ascii="Calibri" w:eastAsia="Times New Roman" w:hAnsi="Calibri" w:cs="Calibri"/>
                <w:color w:val="000000"/>
                <w:sz w:val="22"/>
                <w:szCs w:val="22"/>
                <w:lang w:eastAsia="es-ES"/>
              </w:rPr>
              <w:t>50</w:t>
            </w:r>
          </w:p>
        </w:tc>
      </w:tr>
      <w:tr w:rsidR="00D645B8" w:rsidRPr="00D645B8" w14:paraId="1B3FD42A" w14:textId="77777777" w:rsidTr="003C57DA">
        <w:trPr>
          <w:trHeight w:val="311"/>
        </w:trPr>
        <w:tc>
          <w:tcPr>
            <w:tcW w:w="1701" w:type="dxa"/>
            <w:tcBorders>
              <w:top w:val="nil"/>
              <w:left w:val="single" w:sz="8" w:space="0" w:color="auto"/>
              <w:bottom w:val="single" w:sz="8" w:space="0" w:color="auto"/>
              <w:right w:val="nil"/>
            </w:tcBorders>
            <w:shd w:val="clear" w:color="auto" w:fill="auto"/>
            <w:noWrap/>
            <w:vAlign w:val="bottom"/>
            <w:hideMark/>
          </w:tcPr>
          <w:p w14:paraId="276736AD" w14:textId="77777777" w:rsidR="00D645B8" w:rsidRPr="00D645B8" w:rsidRDefault="00D645B8" w:rsidP="00D645B8">
            <w:pPr>
              <w:spacing w:after="0" w:line="240" w:lineRule="auto"/>
              <w:jc w:val="left"/>
              <w:rPr>
                <w:rFonts w:ascii="Calibri" w:eastAsia="Times New Roman" w:hAnsi="Calibri" w:cs="Calibri"/>
                <w:b/>
                <w:bCs/>
                <w:color w:val="000000"/>
                <w:sz w:val="22"/>
                <w:szCs w:val="22"/>
                <w:lang w:eastAsia="es-ES"/>
              </w:rPr>
            </w:pPr>
            <w:r w:rsidRPr="00D645B8">
              <w:rPr>
                <w:rFonts w:ascii="Calibri" w:eastAsia="Times New Roman" w:hAnsi="Calibri" w:cs="Calibri"/>
                <w:b/>
                <w:bCs/>
                <w:color w:val="000000"/>
                <w:sz w:val="22"/>
                <w:szCs w:val="22"/>
                <w:lang w:eastAsia="es-ES"/>
              </w:rPr>
              <w:t>Totales</w:t>
            </w:r>
          </w:p>
        </w:tc>
        <w:tc>
          <w:tcPr>
            <w:tcW w:w="1725" w:type="dxa"/>
            <w:tcBorders>
              <w:top w:val="nil"/>
              <w:left w:val="nil"/>
              <w:bottom w:val="single" w:sz="8" w:space="0" w:color="auto"/>
              <w:right w:val="nil"/>
            </w:tcBorders>
            <w:shd w:val="clear" w:color="000000" w:fill="D9D9D9"/>
            <w:noWrap/>
            <w:vAlign w:val="bottom"/>
            <w:hideMark/>
          </w:tcPr>
          <w:p w14:paraId="3DA9478A" w14:textId="5CD7B184" w:rsidR="00D645B8" w:rsidRPr="00D645B8" w:rsidRDefault="00D645B8" w:rsidP="00D645B8">
            <w:pPr>
              <w:spacing w:after="0" w:line="240" w:lineRule="auto"/>
              <w:jc w:val="center"/>
              <w:rPr>
                <w:rFonts w:ascii="Calibri" w:eastAsia="Times New Roman" w:hAnsi="Calibri" w:cs="Calibri"/>
                <w:b/>
                <w:bCs/>
                <w:color w:val="000000"/>
                <w:sz w:val="22"/>
                <w:szCs w:val="22"/>
                <w:lang w:eastAsia="es-ES"/>
              </w:rPr>
            </w:pPr>
            <w:r w:rsidRPr="00D645B8">
              <w:rPr>
                <w:rFonts w:ascii="Calibri" w:eastAsia="Times New Roman" w:hAnsi="Calibri" w:cs="Calibri"/>
                <w:b/>
                <w:bCs/>
                <w:color w:val="000000"/>
                <w:sz w:val="22"/>
                <w:szCs w:val="22"/>
                <w:lang w:eastAsia="es-ES"/>
              </w:rPr>
              <w:t>989</w:t>
            </w:r>
            <w:r>
              <w:rPr>
                <w:rFonts w:ascii="Calibri" w:eastAsia="Times New Roman" w:hAnsi="Calibri" w:cs="Calibri"/>
                <w:b/>
                <w:bCs/>
                <w:color w:val="000000"/>
                <w:sz w:val="22"/>
                <w:szCs w:val="22"/>
                <w:lang w:eastAsia="es-ES"/>
              </w:rPr>
              <w:t xml:space="preserve"> k€</w:t>
            </w:r>
          </w:p>
        </w:tc>
        <w:tc>
          <w:tcPr>
            <w:tcW w:w="1381" w:type="dxa"/>
            <w:tcBorders>
              <w:top w:val="nil"/>
              <w:left w:val="nil"/>
              <w:bottom w:val="single" w:sz="8" w:space="0" w:color="auto"/>
              <w:right w:val="nil"/>
            </w:tcBorders>
            <w:shd w:val="clear" w:color="000000" w:fill="D9D9D9"/>
            <w:noWrap/>
            <w:vAlign w:val="bottom"/>
            <w:hideMark/>
          </w:tcPr>
          <w:p w14:paraId="222A57EB" w14:textId="2442B5B3" w:rsidR="00D645B8" w:rsidRPr="00D645B8" w:rsidRDefault="00D645B8" w:rsidP="00D645B8">
            <w:pPr>
              <w:spacing w:after="0" w:line="240" w:lineRule="auto"/>
              <w:jc w:val="center"/>
              <w:rPr>
                <w:rFonts w:ascii="Calibri" w:eastAsia="Times New Roman" w:hAnsi="Calibri" w:cs="Calibri"/>
                <w:b/>
                <w:bCs/>
                <w:color w:val="000000"/>
                <w:sz w:val="22"/>
                <w:szCs w:val="22"/>
                <w:lang w:eastAsia="es-ES"/>
              </w:rPr>
            </w:pPr>
            <w:r w:rsidRPr="00D645B8">
              <w:rPr>
                <w:rFonts w:ascii="Calibri" w:eastAsia="Times New Roman" w:hAnsi="Calibri" w:cs="Calibri"/>
                <w:b/>
                <w:bCs/>
                <w:color w:val="000000"/>
                <w:sz w:val="22"/>
                <w:szCs w:val="22"/>
                <w:lang w:eastAsia="es-ES"/>
              </w:rPr>
              <w:t>1</w:t>
            </w:r>
            <w:r>
              <w:rPr>
                <w:rFonts w:ascii="Calibri" w:eastAsia="Times New Roman" w:hAnsi="Calibri" w:cs="Calibri"/>
                <w:b/>
                <w:bCs/>
                <w:color w:val="000000"/>
                <w:sz w:val="22"/>
                <w:szCs w:val="22"/>
                <w:lang w:eastAsia="es-ES"/>
              </w:rPr>
              <w:t>.</w:t>
            </w:r>
            <w:r w:rsidR="00A17FF3">
              <w:rPr>
                <w:rFonts w:ascii="Calibri" w:eastAsia="Times New Roman" w:hAnsi="Calibri" w:cs="Calibri"/>
                <w:b/>
                <w:bCs/>
                <w:color w:val="000000"/>
                <w:sz w:val="22"/>
                <w:szCs w:val="22"/>
                <w:lang w:eastAsia="es-ES"/>
              </w:rPr>
              <w:t>6</w:t>
            </w:r>
            <w:r w:rsidRPr="00D645B8">
              <w:rPr>
                <w:rFonts w:ascii="Calibri" w:eastAsia="Times New Roman" w:hAnsi="Calibri" w:cs="Calibri"/>
                <w:b/>
                <w:bCs/>
                <w:color w:val="000000"/>
                <w:sz w:val="22"/>
                <w:szCs w:val="22"/>
                <w:lang w:eastAsia="es-ES"/>
              </w:rPr>
              <w:t>7</w:t>
            </w:r>
            <w:r w:rsidR="00A17FF3">
              <w:rPr>
                <w:rFonts w:ascii="Calibri" w:eastAsia="Times New Roman" w:hAnsi="Calibri" w:cs="Calibri"/>
                <w:b/>
                <w:bCs/>
                <w:color w:val="000000"/>
                <w:sz w:val="22"/>
                <w:szCs w:val="22"/>
                <w:lang w:eastAsia="es-ES"/>
              </w:rPr>
              <w:t>4</w:t>
            </w:r>
            <w:r>
              <w:rPr>
                <w:rFonts w:ascii="Calibri" w:eastAsia="Times New Roman" w:hAnsi="Calibri" w:cs="Calibri"/>
                <w:b/>
                <w:bCs/>
                <w:color w:val="000000"/>
                <w:sz w:val="22"/>
                <w:szCs w:val="22"/>
                <w:lang w:eastAsia="es-ES"/>
              </w:rPr>
              <w:t xml:space="preserve"> k€</w:t>
            </w:r>
          </w:p>
        </w:tc>
        <w:tc>
          <w:tcPr>
            <w:tcW w:w="1372" w:type="dxa"/>
            <w:tcBorders>
              <w:top w:val="nil"/>
              <w:left w:val="nil"/>
              <w:bottom w:val="single" w:sz="8" w:space="0" w:color="auto"/>
              <w:right w:val="single" w:sz="8" w:space="0" w:color="auto"/>
            </w:tcBorders>
            <w:shd w:val="clear" w:color="000000" w:fill="D9D9D9"/>
            <w:noWrap/>
            <w:vAlign w:val="bottom"/>
            <w:hideMark/>
          </w:tcPr>
          <w:p w14:paraId="4D7BA398" w14:textId="355718EB" w:rsidR="00D645B8" w:rsidRPr="00D645B8" w:rsidRDefault="00A17FF3" w:rsidP="00D645B8">
            <w:pPr>
              <w:spacing w:after="0" w:line="240" w:lineRule="auto"/>
              <w:jc w:val="center"/>
              <w:rPr>
                <w:rFonts w:ascii="Calibri" w:eastAsia="Times New Roman" w:hAnsi="Calibri" w:cs="Calibri"/>
                <w:b/>
                <w:bCs/>
                <w:color w:val="000000"/>
                <w:sz w:val="22"/>
                <w:szCs w:val="22"/>
                <w:lang w:eastAsia="es-ES"/>
              </w:rPr>
            </w:pPr>
            <w:r>
              <w:rPr>
                <w:rFonts w:ascii="Calibri" w:eastAsia="Times New Roman" w:hAnsi="Calibri" w:cs="Calibri"/>
                <w:b/>
                <w:bCs/>
                <w:color w:val="000000"/>
                <w:sz w:val="22"/>
                <w:szCs w:val="22"/>
                <w:lang w:eastAsia="es-ES"/>
              </w:rPr>
              <w:t>682</w:t>
            </w:r>
            <w:r w:rsidR="00D645B8">
              <w:rPr>
                <w:rFonts w:ascii="Calibri" w:eastAsia="Times New Roman" w:hAnsi="Calibri" w:cs="Calibri"/>
                <w:b/>
                <w:bCs/>
                <w:color w:val="000000"/>
                <w:sz w:val="22"/>
                <w:szCs w:val="22"/>
                <w:lang w:eastAsia="es-ES"/>
              </w:rPr>
              <w:t xml:space="preserve"> k€</w:t>
            </w:r>
          </w:p>
        </w:tc>
      </w:tr>
    </w:tbl>
    <w:p w14:paraId="3FA62573" w14:textId="77777777" w:rsidR="001C2826" w:rsidRPr="00EB6871" w:rsidRDefault="001C2826" w:rsidP="00FA1E85">
      <w:pPr>
        <w:jc w:val="left"/>
      </w:pPr>
    </w:p>
    <w:p w14:paraId="35C52FDC" w14:textId="0972F1B6" w:rsidR="00177491" w:rsidRPr="003B086D" w:rsidRDefault="00177491" w:rsidP="00FA1E85">
      <w:pPr>
        <w:pStyle w:val="Prrafodelista"/>
        <w:numPr>
          <w:ilvl w:val="0"/>
          <w:numId w:val="20"/>
        </w:numPr>
        <w:jc w:val="left"/>
        <w:rPr>
          <w:rStyle w:val="nfasissutil"/>
        </w:rPr>
      </w:pPr>
      <w:r w:rsidRPr="003B086D">
        <w:rPr>
          <w:rStyle w:val="nfasissutil"/>
        </w:rPr>
        <w:t>Tesorería</w:t>
      </w:r>
    </w:p>
    <w:p w14:paraId="68C9D506" w14:textId="2180A37A" w:rsidR="00177491" w:rsidRPr="00EB6871" w:rsidRDefault="00177491" w:rsidP="00FA1E85">
      <w:pPr>
        <w:jc w:val="left"/>
      </w:pPr>
      <w:r w:rsidRPr="00EB6871">
        <w:t>Atendiendo al presente presupuesto no se prevén tensiones de tesorería durante el ejercicio 202</w:t>
      </w:r>
      <w:r w:rsidR="00714F09">
        <w:t>2</w:t>
      </w:r>
      <w:r w:rsidRPr="00EB6871">
        <w:t xml:space="preserve"> (ver cuadro de previsión de tesorería para más información). Se tiene en cuenta que </w:t>
      </w:r>
      <w:r w:rsidR="00714F09">
        <w:t xml:space="preserve">se pagarán </w:t>
      </w:r>
      <w:r w:rsidR="00061C14" w:rsidRPr="00EB6871">
        <w:t>1’5 millones durante el mes de enero 2021 para liquidar parte de la deuda con GSMA (3M)</w:t>
      </w:r>
      <w:r w:rsidR="00E81F95">
        <w:t>.</w:t>
      </w:r>
      <w:r w:rsidR="005023BB" w:rsidRPr="005023BB">
        <w:t xml:space="preserve"> </w:t>
      </w:r>
      <w:r w:rsidR="005023BB">
        <w:t>Se contempla, además, el segundo plazo de la ampliación de capital a su sociedad limitada 100% participada, Barcelona Mobile Ventures, SL durante el mes de Julio de 2022. tal y como se hizo en 2021, gracias al compromiso del Ajuntament de Barcelona y ratificado en Patronato del traspaso de 2M€ del patrimonio neto de la Fundación a mVentures, SL en cuatro años (2021- 2024).</w:t>
      </w:r>
    </w:p>
    <w:p w14:paraId="66EADC3E" w14:textId="77777777" w:rsidR="00072C3A" w:rsidRPr="00EB6871" w:rsidRDefault="00072C3A" w:rsidP="00FA1E85">
      <w:pPr>
        <w:jc w:val="left"/>
      </w:pPr>
    </w:p>
    <w:p w14:paraId="3A21DB69" w14:textId="77777777" w:rsidR="00177491" w:rsidRPr="00EB6871" w:rsidRDefault="00177491" w:rsidP="00FA1E85">
      <w:pPr>
        <w:pStyle w:val="Ttulo2"/>
        <w:jc w:val="left"/>
      </w:pPr>
      <w:bookmarkStart w:id="26" w:name="_Toc85297133"/>
      <w:r w:rsidRPr="00EB6871">
        <w:t>6.4. Patrimonio neto</w:t>
      </w:r>
      <w:bookmarkEnd w:id="26"/>
    </w:p>
    <w:p w14:paraId="3FEB0F2E" w14:textId="77777777" w:rsidR="00177491" w:rsidRPr="00EB6871" w:rsidRDefault="00177491" w:rsidP="00FA1E85">
      <w:pPr>
        <w:jc w:val="left"/>
      </w:pPr>
    </w:p>
    <w:p w14:paraId="569EA984" w14:textId="6B8B687F" w:rsidR="00177491" w:rsidRPr="00EB6871" w:rsidRDefault="00177491" w:rsidP="00FA1E85">
      <w:pPr>
        <w:jc w:val="left"/>
      </w:pPr>
      <w:r w:rsidRPr="00EB6871">
        <w:t>El Patrimonio neto presenta una situación equilibrada, con un saldo positivo que al finalizar En el valor del patrimonio están incluidos los deterioros acumulados por la participación en Barcelona Mobile Ventures, S.L. más las pérdidas previstas para el ejercicio 202</w:t>
      </w:r>
      <w:r w:rsidR="005205FA">
        <w:t>2</w:t>
      </w:r>
      <w:r w:rsidRPr="00EB6871">
        <w:t xml:space="preserve"> (3</w:t>
      </w:r>
      <w:r w:rsidR="005205FA">
        <w:t>39</w:t>
      </w:r>
      <w:r w:rsidRPr="00EB6871">
        <w:t xml:space="preserve"> k€). </w:t>
      </w:r>
    </w:p>
    <w:p w14:paraId="07926B26" w14:textId="77777777" w:rsidR="00C36168" w:rsidRDefault="00C36168" w:rsidP="00FA1E85">
      <w:pPr>
        <w:pStyle w:val="Ttulo2"/>
        <w:jc w:val="left"/>
      </w:pPr>
    </w:p>
    <w:p w14:paraId="52BF5F45" w14:textId="394783A7" w:rsidR="00177491" w:rsidRPr="00EB6871" w:rsidRDefault="00177491" w:rsidP="00FA1E85">
      <w:pPr>
        <w:pStyle w:val="Ttulo2"/>
        <w:jc w:val="left"/>
      </w:pPr>
      <w:bookmarkStart w:id="27" w:name="_Toc85297134"/>
      <w:r w:rsidRPr="00EB6871">
        <w:t>6.5. Pasivo corriente</w:t>
      </w:r>
      <w:bookmarkEnd w:id="27"/>
    </w:p>
    <w:p w14:paraId="12B6B269" w14:textId="77777777" w:rsidR="00177491" w:rsidRPr="00EB6871" w:rsidRDefault="00177491" w:rsidP="00FA1E85">
      <w:pPr>
        <w:jc w:val="left"/>
      </w:pPr>
    </w:p>
    <w:p w14:paraId="568DBB13" w14:textId="0596AE54" w:rsidR="00177491" w:rsidRPr="003B086D" w:rsidRDefault="00177491" w:rsidP="00FA1E85">
      <w:pPr>
        <w:pStyle w:val="Prrafodelista"/>
        <w:numPr>
          <w:ilvl w:val="0"/>
          <w:numId w:val="21"/>
        </w:numPr>
        <w:jc w:val="left"/>
        <w:rPr>
          <w:rStyle w:val="nfasissutil"/>
        </w:rPr>
      </w:pPr>
      <w:r w:rsidRPr="003B086D">
        <w:rPr>
          <w:rStyle w:val="nfasissutil"/>
        </w:rPr>
        <w:t>Administraciones Públicas acreedoras</w:t>
      </w:r>
    </w:p>
    <w:p w14:paraId="164EB3BA" w14:textId="397F6E93" w:rsidR="00177491" w:rsidRPr="00EB6871" w:rsidRDefault="00177491" w:rsidP="00FA1E85">
      <w:pPr>
        <w:jc w:val="left"/>
      </w:pPr>
      <w:r w:rsidRPr="00EB6871">
        <w:t xml:space="preserve">El saldo corresponde a deudas con las Administraciones Públicas por Seguridad Social e IRPF. Hay un incremento de </w:t>
      </w:r>
      <w:r w:rsidR="00526627">
        <w:t>2</w:t>
      </w:r>
      <w:r w:rsidRPr="00EB6871">
        <w:t>k€ respecto la previsión de cierre 202</w:t>
      </w:r>
      <w:r w:rsidR="004A3EC7">
        <w:t>1</w:t>
      </w:r>
      <w:r w:rsidRPr="00EB6871">
        <w:t>, por el incremento de los gastos de personal.</w:t>
      </w:r>
    </w:p>
    <w:p w14:paraId="033804FB" w14:textId="24711A88" w:rsidR="00177491" w:rsidRPr="003B086D" w:rsidRDefault="00072C3A" w:rsidP="00FA1E85">
      <w:pPr>
        <w:pStyle w:val="Prrafodelista"/>
        <w:numPr>
          <w:ilvl w:val="0"/>
          <w:numId w:val="21"/>
        </w:numPr>
        <w:jc w:val="left"/>
        <w:rPr>
          <w:rStyle w:val="nfasissutil"/>
        </w:rPr>
      </w:pPr>
      <w:r w:rsidRPr="003B086D">
        <w:rPr>
          <w:rStyle w:val="nfasissutil"/>
        </w:rPr>
        <w:lastRenderedPageBreak/>
        <w:t>P</w:t>
      </w:r>
      <w:r w:rsidR="00177491" w:rsidRPr="003B086D">
        <w:rPr>
          <w:rStyle w:val="nfasissutil"/>
        </w:rPr>
        <w:t>roveedores y otras cuentas a pagar</w:t>
      </w:r>
    </w:p>
    <w:p w14:paraId="10156FE0" w14:textId="6F629795" w:rsidR="00EB6871" w:rsidRDefault="007873D5" w:rsidP="00FA1E85">
      <w:pPr>
        <w:jc w:val="left"/>
      </w:pPr>
      <w:r w:rsidRPr="00EB6871">
        <w:t xml:space="preserve">La diferencia </w:t>
      </w:r>
      <w:r w:rsidRPr="000F23DA">
        <w:t xml:space="preserve">del </w:t>
      </w:r>
      <w:r w:rsidR="000F23DA" w:rsidRPr="000F23DA">
        <w:t>60</w:t>
      </w:r>
      <w:r w:rsidRPr="000F23DA">
        <w:t>% (</w:t>
      </w:r>
      <w:r w:rsidR="005654CC">
        <w:t>1.4</w:t>
      </w:r>
      <w:r w:rsidR="00526627">
        <w:t>2</w:t>
      </w:r>
      <w:r w:rsidR="00111B73">
        <w:t>1</w:t>
      </w:r>
      <w:r w:rsidRPr="000F23DA">
        <w:t xml:space="preserve"> k€) se explica</w:t>
      </w:r>
      <w:r w:rsidRPr="00EB6871">
        <w:t xml:space="preserve"> principalmente porque a 31 de enero de 202</w:t>
      </w:r>
      <w:r w:rsidR="00111B73">
        <w:t>2</w:t>
      </w:r>
      <w:r w:rsidRPr="00EB6871">
        <w:t xml:space="preserve"> se liquidará un primer pago de 1,5M€ pendiente a GSMA relacionado con el Host City Parties Agreement 2012-2013. Y, por tanto, la deuda con GSMA Ltd </w:t>
      </w:r>
      <w:r w:rsidR="00111B73">
        <w:t>quedará liquidada.</w:t>
      </w:r>
    </w:p>
    <w:p w14:paraId="1853EF5B" w14:textId="77777777" w:rsidR="00526627" w:rsidRDefault="00526627" w:rsidP="00FA1E85">
      <w:pPr>
        <w:jc w:val="left"/>
      </w:pPr>
    </w:p>
    <w:p w14:paraId="405FCC77" w14:textId="77777777" w:rsidR="00526627" w:rsidRDefault="00526627" w:rsidP="00FA1E85">
      <w:pPr>
        <w:jc w:val="left"/>
      </w:pPr>
    </w:p>
    <w:p w14:paraId="7C559F75" w14:textId="77777777" w:rsidR="00526627" w:rsidRDefault="00526627" w:rsidP="00FA1E85">
      <w:pPr>
        <w:jc w:val="left"/>
      </w:pPr>
    </w:p>
    <w:p w14:paraId="3CD174AF" w14:textId="3D6F37C4" w:rsidR="00526627" w:rsidRDefault="00526627" w:rsidP="00FA1E85">
      <w:pPr>
        <w:jc w:val="left"/>
      </w:pPr>
    </w:p>
    <w:p w14:paraId="4BD02966" w14:textId="77777777" w:rsidR="00526627" w:rsidRDefault="00526627" w:rsidP="00FA1E85">
      <w:pPr>
        <w:jc w:val="left"/>
      </w:pPr>
    </w:p>
    <w:p w14:paraId="6F229719" w14:textId="77777777" w:rsidR="00526627" w:rsidRDefault="00526627" w:rsidP="00FA1E85">
      <w:pPr>
        <w:jc w:val="left"/>
      </w:pPr>
    </w:p>
    <w:p w14:paraId="20AC29AE" w14:textId="77777777" w:rsidR="004D59EF" w:rsidRDefault="004D59EF" w:rsidP="00FA1E85">
      <w:pPr>
        <w:jc w:val="left"/>
        <w:rPr>
          <w:b/>
          <w:bCs/>
        </w:rPr>
      </w:pPr>
    </w:p>
    <w:p w14:paraId="16C0FAAF" w14:textId="374D6E4B" w:rsidR="004D59EF" w:rsidRDefault="00993210" w:rsidP="00FA1E85">
      <w:pPr>
        <w:jc w:val="left"/>
        <w:rPr>
          <w:b/>
          <w:bCs/>
        </w:rPr>
      </w:pPr>
      <w:r>
        <w:rPr>
          <w:b/>
          <w:bCs/>
          <w:noProof/>
        </w:rPr>
        <w:drawing>
          <wp:inline distT="0" distB="0" distL="0" distR="0" wp14:anchorId="20F4DBE3" wp14:editId="3E32A0BE">
            <wp:extent cx="600075" cy="563245"/>
            <wp:effectExtent l="0" t="0" r="952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563245"/>
                    </a:xfrm>
                    <a:prstGeom prst="rect">
                      <a:avLst/>
                    </a:prstGeom>
                    <a:noFill/>
                    <a:ln>
                      <a:noFill/>
                    </a:ln>
                  </pic:spPr>
                </pic:pic>
              </a:graphicData>
            </a:graphic>
          </wp:inline>
        </w:drawing>
      </w:r>
    </w:p>
    <w:p w14:paraId="1C93BA98" w14:textId="77777777" w:rsidR="004D59EF" w:rsidRDefault="004D59EF" w:rsidP="00FA1E85">
      <w:pPr>
        <w:jc w:val="left"/>
        <w:rPr>
          <w:b/>
          <w:bCs/>
        </w:rPr>
      </w:pPr>
    </w:p>
    <w:p w14:paraId="61A36ED5" w14:textId="190ECCD8" w:rsidR="00526627" w:rsidRPr="00526627" w:rsidRDefault="00526627" w:rsidP="00FA1E85">
      <w:pPr>
        <w:jc w:val="left"/>
        <w:rPr>
          <w:b/>
          <w:bCs/>
        </w:rPr>
      </w:pPr>
      <w:r w:rsidRPr="00526627">
        <w:rPr>
          <w:b/>
          <w:bCs/>
        </w:rPr>
        <w:t>Carlos Grau Lara</w:t>
      </w:r>
    </w:p>
    <w:p w14:paraId="02526F43" w14:textId="40DBF088" w:rsidR="00526627" w:rsidRPr="00EB6871" w:rsidRDefault="00526627" w:rsidP="00FA1E85">
      <w:pPr>
        <w:jc w:val="left"/>
      </w:pPr>
      <w:r>
        <w:t>Director General</w:t>
      </w:r>
    </w:p>
    <w:p w14:paraId="734832AA" w14:textId="08CE0D03" w:rsidR="00177491" w:rsidRPr="00177491" w:rsidRDefault="00177491" w:rsidP="00FA1E85">
      <w:pPr>
        <w:jc w:val="left"/>
      </w:pPr>
    </w:p>
    <w:sectPr w:rsidR="00177491" w:rsidRPr="00177491" w:rsidSect="00511781">
      <w:pgSz w:w="11906" w:h="16838" w:code="9"/>
      <w:pgMar w:top="17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F85E" w14:textId="77777777" w:rsidR="000354B0" w:rsidRDefault="000354B0" w:rsidP="00084399">
      <w:r>
        <w:separator/>
      </w:r>
    </w:p>
  </w:endnote>
  <w:endnote w:type="continuationSeparator" w:id="0">
    <w:p w14:paraId="03B2762E" w14:textId="77777777" w:rsidR="000354B0" w:rsidRDefault="000354B0" w:rsidP="00084399">
      <w:r>
        <w:continuationSeparator/>
      </w:r>
    </w:p>
  </w:endnote>
  <w:endnote w:type="continuationNotice" w:id="1">
    <w:p w14:paraId="093BC0ED" w14:textId="77777777" w:rsidR="000354B0" w:rsidRDefault="000354B0" w:rsidP="00084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Light">
    <w:panose1 w:val="00000000000000000000"/>
    <w:charset w:val="00"/>
    <w:family w:val="modern"/>
    <w:notTrueType/>
    <w:pitch w:val="variable"/>
    <w:sig w:usb0="A00000AF" w:usb1="4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aphik Regular">
    <w:panose1 w:val="020B0503030202060203"/>
    <w:charset w:val="00"/>
    <w:family w:val="swiss"/>
    <w:notTrueType/>
    <w:pitch w:val="variable"/>
    <w:sig w:usb0="00000007" w:usb1="00000000" w:usb2="00000000" w:usb3="00000000" w:csb0="00000093" w:csb1="00000000"/>
  </w:font>
  <w:font w:name="Graphik Black">
    <w:panose1 w:val="020B0A0303020206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856567"/>
      <w:docPartObj>
        <w:docPartGallery w:val="Page Numbers (Bottom of Page)"/>
        <w:docPartUnique/>
      </w:docPartObj>
    </w:sdtPr>
    <w:sdtEndPr/>
    <w:sdtContent>
      <w:p w14:paraId="5C78B97E" w14:textId="07A7E9DF" w:rsidR="0065362D" w:rsidRDefault="0065362D" w:rsidP="00084399">
        <w:pPr>
          <w:pStyle w:val="Piedepgina"/>
        </w:pPr>
        <w:r>
          <w:rPr>
            <w:noProof/>
          </w:rPr>
          <w:drawing>
            <wp:anchor distT="0" distB="0" distL="114300" distR="114300" simplePos="0" relativeHeight="251656192" behindDoc="0" locked="0" layoutInCell="1" allowOverlap="1" wp14:anchorId="160F74B1" wp14:editId="5ED4D351">
              <wp:simplePos x="0" y="0"/>
              <wp:positionH relativeFrom="margin">
                <wp:align>left</wp:align>
              </wp:positionH>
              <wp:positionV relativeFrom="paragraph">
                <wp:posOffset>20055</wp:posOffset>
              </wp:positionV>
              <wp:extent cx="5067300" cy="383742"/>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067300" cy="383742"/>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p w14:paraId="2120C298" w14:textId="45DB430B" w:rsidR="0065362D" w:rsidRDefault="0065362D" w:rsidP="000843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73E2" w14:textId="77777777" w:rsidR="000354B0" w:rsidRDefault="000354B0" w:rsidP="00084399">
      <w:r>
        <w:separator/>
      </w:r>
    </w:p>
  </w:footnote>
  <w:footnote w:type="continuationSeparator" w:id="0">
    <w:p w14:paraId="2B3774F7" w14:textId="77777777" w:rsidR="000354B0" w:rsidRDefault="000354B0" w:rsidP="00084399">
      <w:r>
        <w:continuationSeparator/>
      </w:r>
    </w:p>
  </w:footnote>
  <w:footnote w:type="continuationNotice" w:id="1">
    <w:p w14:paraId="4CEEB5B7" w14:textId="77777777" w:rsidR="000354B0" w:rsidRDefault="000354B0" w:rsidP="00084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A7E4" w14:textId="51A4B463" w:rsidR="0065362D" w:rsidRPr="007027B8" w:rsidRDefault="0065362D" w:rsidP="00084399">
    <w:pPr>
      <w:pStyle w:val="Encabezado"/>
      <w:rPr>
        <w:color w:val="808080" w:themeColor="background1" w:themeShade="80"/>
        <w:sz w:val="16"/>
        <w:szCs w:val="16"/>
      </w:rPr>
    </w:pPr>
    <w:r>
      <w:rPr>
        <w:noProof/>
      </w:rPr>
      <w:drawing>
        <wp:anchor distT="0" distB="0" distL="114300" distR="114300" simplePos="0" relativeHeight="251657216" behindDoc="0" locked="0" layoutInCell="1" allowOverlap="1" wp14:anchorId="4B569848" wp14:editId="0177D28B">
          <wp:simplePos x="0" y="0"/>
          <wp:positionH relativeFrom="margin">
            <wp:align>right</wp:align>
          </wp:positionH>
          <wp:positionV relativeFrom="paragraph">
            <wp:posOffset>7620</wp:posOffset>
          </wp:positionV>
          <wp:extent cx="1181100" cy="279400"/>
          <wp:effectExtent l="0" t="0" r="0" b="6350"/>
          <wp:wrapSquare wrapText="bothSides"/>
          <wp:docPr id="17" name="Imagen 17" descr="Mobile World Capital Barcelona | Technology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 World Capital Barcelona | Technology ma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794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827362722"/>
        <w:docPartObj>
          <w:docPartGallery w:val="Watermarks"/>
          <w:docPartUnique/>
        </w:docPartObj>
      </w:sdtPr>
      <w:sdtEndPr/>
      <w:sdtContent>
        <w:r w:rsidR="000354B0">
          <w:pict w14:anchorId="1DFD2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r w:rsidRPr="007027B8">
      <w:rPr>
        <w:color w:val="808080" w:themeColor="background1" w:themeShade="80"/>
        <w:sz w:val="16"/>
        <w:szCs w:val="16"/>
      </w:rPr>
      <w:t>PROPUESTA DE PRESUPUESTO</w:t>
    </w:r>
    <w:r>
      <w:rPr>
        <w:color w:val="808080" w:themeColor="background1" w:themeShade="80"/>
        <w:sz w:val="16"/>
        <w:szCs w:val="16"/>
      </w:rPr>
      <w:t xml:space="preserve"> 202</w:t>
    </w:r>
    <w:r w:rsidR="00A51004">
      <w:rPr>
        <w:color w:val="808080" w:themeColor="background1" w:themeShade="80"/>
        <w:sz w:val="16"/>
        <w:szCs w:val="16"/>
      </w:rPr>
      <w:t>2</w:t>
    </w:r>
  </w:p>
  <w:p w14:paraId="58B42B39" w14:textId="29335FCA" w:rsidR="0065362D" w:rsidRPr="007027B8" w:rsidRDefault="0065362D" w:rsidP="00084399">
    <w:pPr>
      <w:pStyle w:val="Encabezado"/>
      <w:rPr>
        <w:color w:val="808080" w:themeColor="background1" w:themeShade="80"/>
        <w:sz w:val="16"/>
        <w:szCs w:val="16"/>
      </w:rPr>
    </w:pPr>
    <w:r w:rsidRPr="007027B8">
      <w:rPr>
        <w:color w:val="808080" w:themeColor="background1" w:themeShade="80"/>
        <w:sz w:val="16"/>
        <w:szCs w:val="16"/>
      </w:rPr>
      <w:t xml:space="preserve">Página </w:t>
    </w:r>
    <w:r w:rsidRPr="007027B8">
      <w:rPr>
        <w:color w:val="808080" w:themeColor="background1" w:themeShade="80"/>
        <w:sz w:val="16"/>
        <w:szCs w:val="16"/>
      </w:rPr>
      <w:fldChar w:fldCharType="begin"/>
    </w:r>
    <w:r w:rsidRPr="007027B8">
      <w:rPr>
        <w:color w:val="808080" w:themeColor="background1" w:themeShade="80"/>
        <w:sz w:val="16"/>
        <w:szCs w:val="16"/>
      </w:rPr>
      <w:instrText>PAGE   \* MERGEFORMAT</w:instrText>
    </w:r>
    <w:r w:rsidRPr="007027B8">
      <w:rPr>
        <w:color w:val="808080" w:themeColor="background1" w:themeShade="80"/>
        <w:sz w:val="16"/>
        <w:szCs w:val="16"/>
      </w:rPr>
      <w:fldChar w:fldCharType="separate"/>
    </w:r>
    <w:r w:rsidRPr="007027B8">
      <w:rPr>
        <w:color w:val="808080" w:themeColor="background1" w:themeShade="80"/>
        <w:sz w:val="16"/>
        <w:szCs w:val="16"/>
      </w:rPr>
      <w:t>1</w:t>
    </w:r>
    <w:r w:rsidRPr="007027B8">
      <w:rPr>
        <w:color w:val="808080" w:themeColor="background1" w:themeShade="8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70B6" w14:textId="33941500" w:rsidR="004D59EF" w:rsidRDefault="004D59EF">
    <w:pPr>
      <w:pStyle w:val="Encabezado"/>
    </w:pPr>
    <w:r>
      <w:rPr>
        <w:noProof/>
      </w:rPr>
      <w:drawing>
        <wp:anchor distT="0" distB="0" distL="114300" distR="114300" simplePos="0" relativeHeight="251658240" behindDoc="0" locked="0" layoutInCell="1" allowOverlap="1" wp14:anchorId="52F6664F" wp14:editId="25432F03">
          <wp:simplePos x="0" y="0"/>
          <wp:positionH relativeFrom="margin">
            <wp:posOffset>4828032</wp:posOffset>
          </wp:positionH>
          <wp:positionV relativeFrom="paragraph">
            <wp:posOffset>86843</wp:posOffset>
          </wp:positionV>
          <wp:extent cx="1181100" cy="279400"/>
          <wp:effectExtent l="0" t="0" r="0" b="6350"/>
          <wp:wrapSquare wrapText="bothSides"/>
          <wp:docPr id="14" name="Imagen 14" descr="Mobile World Capital Barcelona | Technology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 World Capital Barcelona | Technology ma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79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279"/>
    <w:multiLevelType w:val="hybridMultilevel"/>
    <w:tmpl w:val="0868F8FC"/>
    <w:lvl w:ilvl="0" w:tplc="45402E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DD2609"/>
    <w:multiLevelType w:val="multilevel"/>
    <w:tmpl w:val="C6A0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61E4E"/>
    <w:multiLevelType w:val="hybridMultilevel"/>
    <w:tmpl w:val="493AB9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6C1D86"/>
    <w:multiLevelType w:val="multilevel"/>
    <w:tmpl w:val="A334B58A"/>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E91A0F"/>
    <w:multiLevelType w:val="hybridMultilevel"/>
    <w:tmpl w:val="624A3D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FA015A"/>
    <w:multiLevelType w:val="hybridMultilevel"/>
    <w:tmpl w:val="FC445D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0191EFB"/>
    <w:multiLevelType w:val="hybridMultilevel"/>
    <w:tmpl w:val="8C948C58"/>
    <w:lvl w:ilvl="0" w:tplc="84426026">
      <w:numFmt w:val="bullet"/>
      <w:lvlText w:val="-"/>
      <w:lvlJc w:val="left"/>
      <w:pPr>
        <w:ind w:left="1440" w:hanging="360"/>
      </w:pPr>
      <w:rPr>
        <w:rFonts w:ascii="DIN Light" w:eastAsia="Times New Roman" w:hAnsi="DIN Light"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55437EA"/>
    <w:multiLevelType w:val="hybridMultilevel"/>
    <w:tmpl w:val="674A0D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B96958"/>
    <w:multiLevelType w:val="hybridMultilevel"/>
    <w:tmpl w:val="3014F9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E1038C"/>
    <w:multiLevelType w:val="hybridMultilevel"/>
    <w:tmpl w:val="2FD8E26A"/>
    <w:lvl w:ilvl="0" w:tplc="0C0A000F">
      <w:start w:val="1"/>
      <w:numFmt w:val="decimal"/>
      <w:lvlText w:val="%1."/>
      <w:lvlJc w:val="left"/>
      <w:pPr>
        <w:ind w:left="720" w:hanging="360"/>
      </w:pPr>
    </w:lvl>
    <w:lvl w:ilvl="1" w:tplc="C69854A4">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946195E"/>
    <w:multiLevelType w:val="multilevel"/>
    <w:tmpl w:val="B182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D15399"/>
    <w:multiLevelType w:val="hybridMultilevel"/>
    <w:tmpl w:val="71C6239E"/>
    <w:lvl w:ilvl="0" w:tplc="B0B807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5F1CB7"/>
    <w:multiLevelType w:val="multilevel"/>
    <w:tmpl w:val="B2645B9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3" w15:restartNumberingAfterBreak="0">
    <w:nsid w:val="2E8566A6"/>
    <w:multiLevelType w:val="hybridMultilevel"/>
    <w:tmpl w:val="9CF03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DE3844"/>
    <w:multiLevelType w:val="hybridMultilevel"/>
    <w:tmpl w:val="DB1EA7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201292"/>
    <w:multiLevelType w:val="hybridMultilevel"/>
    <w:tmpl w:val="17F474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953216"/>
    <w:multiLevelType w:val="hybridMultilevel"/>
    <w:tmpl w:val="6A3013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33E21C25"/>
    <w:multiLevelType w:val="hybridMultilevel"/>
    <w:tmpl w:val="EB52294A"/>
    <w:lvl w:ilvl="0" w:tplc="89BC90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36964E21"/>
    <w:multiLevelType w:val="hybridMultilevel"/>
    <w:tmpl w:val="C7EC4DAC"/>
    <w:lvl w:ilvl="0" w:tplc="391408FA">
      <w:start w:val="1"/>
      <w:numFmt w:val="decimal"/>
      <w:pStyle w:val="Ttulo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7C65C38"/>
    <w:multiLevelType w:val="hybridMultilevel"/>
    <w:tmpl w:val="484AB6CE"/>
    <w:lvl w:ilvl="0" w:tplc="C23E3D9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0" w15:restartNumberingAfterBreak="0">
    <w:nsid w:val="3B393255"/>
    <w:multiLevelType w:val="multilevel"/>
    <w:tmpl w:val="231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721BF0"/>
    <w:multiLevelType w:val="hybridMultilevel"/>
    <w:tmpl w:val="674A0D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FF732E5"/>
    <w:multiLevelType w:val="hybridMultilevel"/>
    <w:tmpl w:val="6764FB4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46E16CF8"/>
    <w:multiLevelType w:val="multilevel"/>
    <w:tmpl w:val="6390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7C34D7"/>
    <w:multiLevelType w:val="multilevel"/>
    <w:tmpl w:val="A116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355E54"/>
    <w:multiLevelType w:val="hybridMultilevel"/>
    <w:tmpl w:val="624A3D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A1B4370"/>
    <w:multiLevelType w:val="hybridMultilevel"/>
    <w:tmpl w:val="C7D014F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50AE786A"/>
    <w:multiLevelType w:val="hybridMultilevel"/>
    <w:tmpl w:val="9E2A2B10"/>
    <w:lvl w:ilvl="0" w:tplc="C69854A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0AF0854"/>
    <w:multiLevelType w:val="hybridMultilevel"/>
    <w:tmpl w:val="12DCFB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38C44F4"/>
    <w:multiLevelType w:val="hybridMultilevel"/>
    <w:tmpl w:val="12DCFB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4EE4BCB"/>
    <w:multiLevelType w:val="hybridMultilevel"/>
    <w:tmpl w:val="DB1EA7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758648E"/>
    <w:multiLevelType w:val="multilevel"/>
    <w:tmpl w:val="C9A6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170CDD"/>
    <w:multiLevelType w:val="hybridMultilevel"/>
    <w:tmpl w:val="76C83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92035EB"/>
    <w:multiLevelType w:val="hybridMultilevel"/>
    <w:tmpl w:val="D806163E"/>
    <w:lvl w:ilvl="0" w:tplc="D668F314">
      <w:start w:val="390"/>
      <w:numFmt w:val="bullet"/>
      <w:lvlText w:val="-"/>
      <w:lvlJc w:val="left"/>
      <w:pPr>
        <w:ind w:left="1065" w:hanging="360"/>
      </w:pPr>
      <w:rPr>
        <w:rFonts w:ascii="Graphik Regular" w:eastAsiaTheme="minorHAnsi" w:hAnsi="Graphik Regular"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4" w15:restartNumberingAfterBreak="0">
    <w:nsid w:val="6A091E70"/>
    <w:multiLevelType w:val="multilevel"/>
    <w:tmpl w:val="ADFE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813390"/>
    <w:multiLevelType w:val="hybridMultilevel"/>
    <w:tmpl w:val="BCCC9268"/>
    <w:lvl w:ilvl="0" w:tplc="84426026">
      <w:numFmt w:val="bullet"/>
      <w:lvlText w:val="-"/>
      <w:lvlJc w:val="left"/>
      <w:pPr>
        <w:ind w:left="1080" w:hanging="360"/>
      </w:pPr>
      <w:rPr>
        <w:rFonts w:ascii="DIN Light" w:eastAsia="Times New Roman" w:hAnsi="DIN Light"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6E102852"/>
    <w:multiLevelType w:val="hybridMultilevel"/>
    <w:tmpl w:val="3C0271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E1D222E"/>
    <w:multiLevelType w:val="multilevel"/>
    <w:tmpl w:val="0DB40E0E"/>
    <w:lvl w:ilvl="0">
      <w:start w:val="3"/>
      <w:numFmt w:val="decimal"/>
      <w:lvlText w:val="%1"/>
      <w:lvlJc w:val="left"/>
      <w:pPr>
        <w:ind w:left="520" w:hanging="520"/>
      </w:pPr>
      <w:rPr>
        <w:rFonts w:hint="default"/>
      </w:rPr>
    </w:lvl>
    <w:lvl w:ilvl="1">
      <w:start w:val="4"/>
      <w:numFmt w:val="decimal"/>
      <w:lvlText w:val="%1.%2"/>
      <w:lvlJc w:val="left"/>
      <w:pPr>
        <w:ind w:left="520" w:hanging="5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1F5D7B"/>
    <w:multiLevelType w:val="hybridMultilevel"/>
    <w:tmpl w:val="B1EC25A8"/>
    <w:lvl w:ilvl="0" w:tplc="FE0837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33F04D1"/>
    <w:multiLevelType w:val="hybridMultilevel"/>
    <w:tmpl w:val="4F469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E4D1789"/>
    <w:multiLevelType w:val="multilevel"/>
    <w:tmpl w:val="506CD46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num w:numId="1">
    <w:abstractNumId w:val="15"/>
  </w:num>
  <w:num w:numId="2">
    <w:abstractNumId w:val="13"/>
  </w:num>
  <w:num w:numId="3">
    <w:abstractNumId w:val="9"/>
  </w:num>
  <w:num w:numId="4">
    <w:abstractNumId w:val="27"/>
  </w:num>
  <w:num w:numId="5">
    <w:abstractNumId w:val="25"/>
  </w:num>
  <w:num w:numId="6">
    <w:abstractNumId w:val="35"/>
  </w:num>
  <w:num w:numId="7">
    <w:abstractNumId w:val="26"/>
  </w:num>
  <w:num w:numId="8">
    <w:abstractNumId w:val="8"/>
  </w:num>
  <w:num w:numId="9">
    <w:abstractNumId w:val="4"/>
  </w:num>
  <w:num w:numId="10">
    <w:abstractNumId w:val="6"/>
  </w:num>
  <w:num w:numId="11">
    <w:abstractNumId w:val="5"/>
  </w:num>
  <w:num w:numId="12">
    <w:abstractNumId w:val="16"/>
  </w:num>
  <w:num w:numId="13">
    <w:abstractNumId w:val="22"/>
  </w:num>
  <w:num w:numId="14">
    <w:abstractNumId w:val="29"/>
  </w:num>
  <w:num w:numId="15">
    <w:abstractNumId w:val="36"/>
  </w:num>
  <w:num w:numId="16">
    <w:abstractNumId w:val="32"/>
  </w:num>
  <w:num w:numId="17">
    <w:abstractNumId w:val="14"/>
  </w:num>
  <w:num w:numId="18">
    <w:abstractNumId w:val="30"/>
  </w:num>
  <w:num w:numId="19">
    <w:abstractNumId w:val="2"/>
  </w:num>
  <w:num w:numId="20">
    <w:abstractNumId w:val="7"/>
  </w:num>
  <w:num w:numId="21">
    <w:abstractNumId w:val="21"/>
  </w:num>
  <w:num w:numId="22">
    <w:abstractNumId w:val="38"/>
  </w:num>
  <w:num w:numId="23">
    <w:abstractNumId w:val="0"/>
  </w:num>
  <w:num w:numId="24">
    <w:abstractNumId w:val="18"/>
  </w:num>
  <w:num w:numId="25">
    <w:abstractNumId w:val="11"/>
  </w:num>
  <w:num w:numId="26">
    <w:abstractNumId w:val="3"/>
  </w:num>
  <w:num w:numId="27">
    <w:abstractNumId w:val="37"/>
  </w:num>
  <w:num w:numId="28">
    <w:abstractNumId w:val="39"/>
  </w:num>
  <w:num w:numId="29">
    <w:abstractNumId w:val="28"/>
  </w:num>
  <w:num w:numId="30">
    <w:abstractNumId w:val="33"/>
  </w:num>
  <w:num w:numId="31">
    <w:abstractNumId w:val="17"/>
  </w:num>
  <w:num w:numId="32">
    <w:abstractNumId w:val="19"/>
  </w:num>
  <w:num w:numId="33">
    <w:abstractNumId w:val="1"/>
  </w:num>
  <w:num w:numId="34">
    <w:abstractNumId w:val="31"/>
  </w:num>
  <w:num w:numId="35">
    <w:abstractNumId w:val="40"/>
  </w:num>
  <w:num w:numId="36">
    <w:abstractNumId w:val="12"/>
  </w:num>
  <w:num w:numId="37">
    <w:abstractNumId w:val="10"/>
  </w:num>
  <w:num w:numId="38">
    <w:abstractNumId w:val="34"/>
  </w:num>
  <w:num w:numId="39">
    <w:abstractNumId w:val="24"/>
  </w:num>
  <w:num w:numId="40">
    <w:abstractNumId w:val="20"/>
  </w:num>
  <w:num w:numId="41">
    <w:abstractNumId w:val="2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91"/>
    <w:rsid w:val="00002E75"/>
    <w:rsid w:val="000044FF"/>
    <w:rsid w:val="0000776E"/>
    <w:rsid w:val="00011990"/>
    <w:rsid w:val="00011CF2"/>
    <w:rsid w:val="000136E0"/>
    <w:rsid w:val="000172B2"/>
    <w:rsid w:val="000203DA"/>
    <w:rsid w:val="00020BF1"/>
    <w:rsid w:val="000234B7"/>
    <w:rsid w:val="00025C90"/>
    <w:rsid w:val="000354B0"/>
    <w:rsid w:val="00037E5E"/>
    <w:rsid w:val="000408BA"/>
    <w:rsid w:val="00040D5D"/>
    <w:rsid w:val="00044B69"/>
    <w:rsid w:val="00046B8C"/>
    <w:rsid w:val="00050787"/>
    <w:rsid w:val="0005078E"/>
    <w:rsid w:val="00055678"/>
    <w:rsid w:val="000556E6"/>
    <w:rsid w:val="000573A8"/>
    <w:rsid w:val="00057E25"/>
    <w:rsid w:val="00060CA2"/>
    <w:rsid w:val="00061C14"/>
    <w:rsid w:val="000670AC"/>
    <w:rsid w:val="00070EF7"/>
    <w:rsid w:val="00071178"/>
    <w:rsid w:val="00072C3A"/>
    <w:rsid w:val="00074C9A"/>
    <w:rsid w:val="00084399"/>
    <w:rsid w:val="0008478A"/>
    <w:rsid w:val="000866D1"/>
    <w:rsid w:val="00094DE5"/>
    <w:rsid w:val="000961C1"/>
    <w:rsid w:val="000A3209"/>
    <w:rsid w:val="000B205D"/>
    <w:rsid w:val="000B4796"/>
    <w:rsid w:val="000B594C"/>
    <w:rsid w:val="000B5A46"/>
    <w:rsid w:val="000C3445"/>
    <w:rsid w:val="000C4249"/>
    <w:rsid w:val="000C4B61"/>
    <w:rsid w:val="000D0453"/>
    <w:rsid w:val="000E0AE6"/>
    <w:rsid w:val="000E2D9B"/>
    <w:rsid w:val="000E4EEA"/>
    <w:rsid w:val="000E5D6C"/>
    <w:rsid w:val="000E7A7D"/>
    <w:rsid w:val="000F23DA"/>
    <w:rsid w:val="000F4DB7"/>
    <w:rsid w:val="000F7FAC"/>
    <w:rsid w:val="00101630"/>
    <w:rsid w:val="00102386"/>
    <w:rsid w:val="00104ABB"/>
    <w:rsid w:val="00105FE0"/>
    <w:rsid w:val="001070F3"/>
    <w:rsid w:val="00111A87"/>
    <w:rsid w:val="00111B73"/>
    <w:rsid w:val="00115775"/>
    <w:rsid w:val="00117D1B"/>
    <w:rsid w:val="00122F8F"/>
    <w:rsid w:val="00123D8E"/>
    <w:rsid w:val="001251C1"/>
    <w:rsid w:val="0013182F"/>
    <w:rsid w:val="00131B68"/>
    <w:rsid w:val="0013433C"/>
    <w:rsid w:val="00134D24"/>
    <w:rsid w:val="00135C64"/>
    <w:rsid w:val="00136041"/>
    <w:rsid w:val="00146646"/>
    <w:rsid w:val="00150687"/>
    <w:rsid w:val="001538E4"/>
    <w:rsid w:val="0015678E"/>
    <w:rsid w:val="00164127"/>
    <w:rsid w:val="00164BC3"/>
    <w:rsid w:val="001663FB"/>
    <w:rsid w:val="0017038D"/>
    <w:rsid w:val="001709D5"/>
    <w:rsid w:val="00171840"/>
    <w:rsid w:val="001724AC"/>
    <w:rsid w:val="00176C82"/>
    <w:rsid w:val="00177491"/>
    <w:rsid w:val="00177BCC"/>
    <w:rsid w:val="00180DBA"/>
    <w:rsid w:val="00184F8F"/>
    <w:rsid w:val="00185CAA"/>
    <w:rsid w:val="00191C46"/>
    <w:rsid w:val="00191E39"/>
    <w:rsid w:val="00192D3B"/>
    <w:rsid w:val="001943A7"/>
    <w:rsid w:val="001A30BF"/>
    <w:rsid w:val="001B0FD7"/>
    <w:rsid w:val="001B1821"/>
    <w:rsid w:val="001B297F"/>
    <w:rsid w:val="001B4E82"/>
    <w:rsid w:val="001B5D8C"/>
    <w:rsid w:val="001C15B9"/>
    <w:rsid w:val="001C2826"/>
    <w:rsid w:val="001C2FA0"/>
    <w:rsid w:val="001C6EA1"/>
    <w:rsid w:val="001C7449"/>
    <w:rsid w:val="001D4393"/>
    <w:rsid w:val="001D5C39"/>
    <w:rsid w:val="001D6FA3"/>
    <w:rsid w:val="001E01A9"/>
    <w:rsid w:val="001E034E"/>
    <w:rsid w:val="001E5C06"/>
    <w:rsid w:val="001E7BDE"/>
    <w:rsid w:val="001F1BBB"/>
    <w:rsid w:val="002016F9"/>
    <w:rsid w:val="0020386A"/>
    <w:rsid w:val="002118C9"/>
    <w:rsid w:val="002159DA"/>
    <w:rsid w:val="00215DCA"/>
    <w:rsid w:val="00224665"/>
    <w:rsid w:val="002263BC"/>
    <w:rsid w:val="0023427B"/>
    <w:rsid w:val="00244C97"/>
    <w:rsid w:val="00246144"/>
    <w:rsid w:val="002471A5"/>
    <w:rsid w:val="00247A39"/>
    <w:rsid w:val="00253FE3"/>
    <w:rsid w:val="002548D8"/>
    <w:rsid w:val="002560B1"/>
    <w:rsid w:val="00256D1B"/>
    <w:rsid w:val="00257011"/>
    <w:rsid w:val="00257668"/>
    <w:rsid w:val="0026042C"/>
    <w:rsid w:val="00265F49"/>
    <w:rsid w:val="00267B1E"/>
    <w:rsid w:val="00275A8D"/>
    <w:rsid w:val="00275BAC"/>
    <w:rsid w:val="0028771C"/>
    <w:rsid w:val="002956C2"/>
    <w:rsid w:val="002A0101"/>
    <w:rsid w:val="002A0944"/>
    <w:rsid w:val="002A2B98"/>
    <w:rsid w:val="002A5949"/>
    <w:rsid w:val="002B05F4"/>
    <w:rsid w:val="002B1F2A"/>
    <w:rsid w:val="002B322C"/>
    <w:rsid w:val="002B3A2A"/>
    <w:rsid w:val="002B5A19"/>
    <w:rsid w:val="002B6831"/>
    <w:rsid w:val="002B6CC1"/>
    <w:rsid w:val="002C486C"/>
    <w:rsid w:val="002C6DAC"/>
    <w:rsid w:val="002D3B0C"/>
    <w:rsid w:val="002F111B"/>
    <w:rsid w:val="002F2C36"/>
    <w:rsid w:val="002F480B"/>
    <w:rsid w:val="002F4E53"/>
    <w:rsid w:val="0030002A"/>
    <w:rsid w:val="00301132"/>
    <w:rsid w:val="003016FD"/>
    <w:rsid w:val="00303B5C"/>
    <w:rsid w:val="00305BE2"/>
    <w:rsid w:val="003133A1"/>
    <w:rsid w:val="00314BEA"/>
    <w:rsid w:val="0031590B"/>
    <w:rsid w:val="00315F55"/>
    <w:rsid w:val="003173D9"/>
    <w:rsid w:val="00321587"/>
    <w:rsid w:val="003235B4"/>
    <w:rsid w:val="00324BCA"/>
    <w:rsid w:val="00325E7B"/>
    <w:rsid w:val="0032797B"/>
    <w:rsid w:val="00330392"/>
    <w:rsid w:val="00335472"/>
    <w:rsid w:val="00337F47"/>
    <w:rsid w:val="00342D5A"/>
    <w:rsid w:val="00350C35"/>
    <w:rsid w:val="00352029"/>
    <w:rsid w:val="00352372"/>
    <w:rsid w:val="00354B61"/>
    <w:rsid w:val="0036208C"/>
    <w:rsid w:val="0036318E"/>
    <w:rsid w:val="00363DA8"/>
    <w:rsid w:val="003648CF"/>
    <w:rsid w:val="00367E95"/>
    <w:rsid w:val="00372C05"/>
    <w:rsid w:val="00376701"/>
    <w:rsid w:val="00384884"/>
    <w:rsid w:val="00391C94"/>
    <w:rsid w:val="00397213"/>
    <w:rsid w:val="00397C21"/>
    <w:rsid w:val="003A3CA6"/>
    <w:rsid w:val="003A556C"/>
    <w:rsid w:val="003B086D"/>
    <w:rsid w:val="003B0907"/>
    <w:rsid w:val="003B3435"/>
    <w:rsid w:val="003B34E7"/>
    <w:rsid w:val="003B7BA1"/>
    <w:rsid w:val="003C12D0"/>
    <w:rsid w:val="003C1D69"/>
    <w:rsid w:val="003C3526"/>
    <w:rsid w:val="003C5134"/>
    <w:rsid w:val="003C5622"/>
    <w:rsid w:val="003C57DA"/>
    <w:rsid w:val="003C6742"/>
    <w:rsid w:val="003C6BE3"/>
    <w:rsid w:val="003D0D0D"/>
    <w:rsid w:val="003D0F6F"/>
    <w:rsid w:val="003D1276"/>
    <w:rsid w:val="003D4B17"/>
    <w:rsid w:val="003D675B"/>
    <w:rsid w:val="003D6DC3"/>
    <w:rsid w:val="003E033D"/>
    <w:rsid w:val="003E6E87"/>
    <w:rsid w:val="003F2B9B"/>
    <w:rsid w:val="003F5B8D"/>
    <w:rsid w:val="003F7685"/>
    <w:rsid w:val="003F76AF"/>
    <w:rsid w:val="0040102A"/>
    <w:rsid w:val="00403FD6"/>
    <w:rsid w:val="004044EA"/>
    <w:rsid w:val="00405374"/>
    <w:rsid w:val="00405909"/>
    <w:rsid w:val="00407DD6"/>
    <w:rsid w:val="00407E30"/>
    <w:rsid w:val="00410866"/>
    <w:rsid w:val="00411D41"/>
    <w:rsid w:val="00415A9A"/>
    <w:rsid w:val="00420844"/>
    <w:rsid w:val="00420E0B"/>
    <w:rsid w:val="00421EB7"/>
    <w:rsid w:val="00424D92"/>
    <w:rsid w:val="004268F1"/>
    <w:rsid w:val="00426CA7"/>
    <w:rsid w:val="00427AFE"/>
    <w:rsid w:val="004326A2"/>
    <w:rsid w:val="004413CB"/>
    <w:rsid w:val="00446E99"/>
    <w:rsid w:val="00451B98"/>
    <w:rsid w:val="004534A0"/>
    <w:rsid w:val="0045362D"/>
    <w:rsid w:val="00453C3C"/>
    <w:rsid w:val="00454F8F"/>
    <w:rsid w:val="00457E84"/>
    <w:rsid w:val="00463067"/>
    <w:rsid w:val="00463443"/>
    <w:rsid w:val="00473F05"/>
    <w:rsid w:val="004772FC"/>
    <w:rsid w:val="004852DF"/>
    <w:rsid w:val="00490FC9"/>
    <w:rsid w:val="0049618E"/>
    <w:rsid w:val="004A127F"/>
    <w:rsid w:val="004A20C9"/>
    <w:rsid w:val="004A3EC7"/>
    <w:rsid w:val="004A6F09"/>
    <w:rsid w:val="004A7FDB"/>
    <w:rsid w:val="004B3C58"/>
    <w:rsid w:val="004C5435"/>
    <w:rsid w:val="004D11F1"/>
    <w:rsid w:val="004D371A"/>
    <w:rsid w:val="004D59EF"/>
    <w:rsid w:val="004D7838"/>
    <w:rsid w:val="004E4254"/>
    <w:rsid w:val="004E58F1"/>
    <w:rsid w:val="004F68FF"/>
    <w:rsid w:val="005015B8"/>
    <w:rsid w:val="005023BB"/>
    <w:rsid w:val="00505BCF"/>
    <w:rsid w:val="00507B02"/>
    <w:rsid w:val="00511781"/>
    <w:rsid w:val="005128A2"/>
    <w:rsid w:val="00515324"/>
    <w:rsid w:val="00516FE3"/>
    <w:rsid w:val="005205FA"/>
    <w:rsid w:val="00522DF2"/>
    <w:rsid w:val="005244A4"/>
    <w:rsid w:val="0052583C"/>
    <w:rsid w:val="00526627"/>
    <w:rsid w:val="00527330"/>
    <w:rsid w:val="005275B7"/>
    <w:rsid w:val="00532C07"/>
    <w:rsid w:val="00534F71"/>
    <w:rsid w:val="00541985"/>
    <w:rsid w:val="00542418"/>
    <w:rsid w:val="00545429"/>
    <w:rsid w:val="00545CEB"/>
    <w:rsid w:val="00546198"/>
    <w:rsid w:val="005474BA"/>
    <w:rsid w:val="00547C8A"/>
    <w:rsid w:val="00561137"/>
    <w:rsid w:val="005654CC"/>
    <w:rsid w:val="0056663E"/>
    <w:rsid w:val="00570055"/>
    <w:rsid w:val="0057106D"/>
    <w:rsid w:val="00573517"/>
    <w:rsid w:val="00577CED"/>
    <w:rsid w:val="005805E3"/>
    <w:rsid w:val="00580A75"/>
    <w:rsid w:val="00582333"/>
    <w:rsid w:val="00584F27"/>
    <w:rsid w:val="00587728"/>
    <w:rsid w:val="00592F80"/>
    <w:rsid w:val="005A07FB"/>
    <w:rsid w:val="005A25B8"/>
    <w:rsid w:val="005A618F"/>
    <w:rsid w:val="005A6BEC"/>
    <w:rsid w:val="005B1083"/>
    <w:rsid w:val="005B30AF"/>
    <w:rsid w:val="005B45A2"/>
    <w:rsid w:val="005B4AEC"/>
    <w:rsid w:val="005B7C59"/>
    <w:rsid w:val="005C083C"/>
    <w:rsid w:val="005C7AF4"/>
    <w:rsid w:val="005C7DF1"/>
    <w:rsid w:val="005D6B52"/>
    <w:rsid w:val="005E0B00"/>
    <w:rsid w:val="005E2C11"/>
    <w:rsid w:val="005E3288"/>
    <w:rsid w:val="005E6A42"/>
    <w:rsid w:val="005F3D85"/>
    <w:rsid w:val="005F6669"/>
    <w:rsid w:val="005F7088"/>
    <w:rsid w:val="006001A5"/>
    <w:rsid w:val="00601C18"/>
    <w:rsid w:val="00602328"/>
    <w:rsid w:val="00603A13"/>
    <w:rsid w:val="00603C2B"/>
    <w:rsid w:val="00607576"/>
    <w:rsid w:val="006125C8"/>
    <w:rsid w:val="00612A7C"/>
    <w:rsid w:val="00612FE9"/>
    <w:rsid w:val="006130F5"/>
    <w:rsid w:val="00614496"/>
    <w:rsid w:val="0061498A"/>
    <w:rsid w:val="0061758C"/>
    <w:rsid w:val="0061784D"/>
    <w:rsid w:val="00617FFE"/>
    <w:rsid w:val="0062623F"/>
    <w:rsid w:val="00626A61"/>
    <w:rsid w:val="00631CF4"/>
    <w:rsid w:val="00632B99"/>
    <w:rsid w:val="0063304E"/>
    <w:rsid w:val="006349A5"/>
    <w:rsid w:val="00641912"/>
    <w:rsid w:val="00643FCD"/>
    <w:rsid w:val="00645F75"/>
    <w:rsid w:val="00650C53"/>
    <w:rsid w:val="00652956"/>
    <w:rsid w:val="0065362D"/>
    <w:rsid w:val="00653A2F"/>
    <w:rsid w:val="00653B42"/>
    <w:rsid w:val="0065418E"/>
    <w:rsid w:val="00654DC6"/>
    <w:rsid w:val="00657E11"/>
    <w:rsid w:val="00662D53"/>
    <w:rsid w:val="006640E8"/>
    <w:rsid w:val="006661B2"/>
    <w:rsid w:val="00670E01"/>
    <w:rsid w:val="0068017D"/>
    <w:rsid w:val="00680F27"/>
    <w:rsid w:val="00681013"/>
    <w:rsid w:val="00681B37"/>
    <w:rsid w:val="00692439"/>
    <w:rsid w:val="00694538"/>
    <w:rsid w:val="0069632C"/>
    <w:rsid w:val="00697328"/>
    <w:rsid w:val="00697445"/>
    <w:rsid w:val="006A0C91"/>
    <w:rsid w:val="006A2D42"/>
    <w:rsid w:val="006A403F"/>
    <w:rsid w:val="006A51D8"/>
    <w:rsid w:val="006A577A"/>
    <w:rsid w:val="006A660E"/>
    <w:rsid w:val="006A6B77"/>
    <w:rsid w:val="006A7A89"/>
    <w:rsid w:val="006B190D"/>
    <w:rsid w:val="006B6780"/>
    <w:rsid w:val="006B6877"/>
    <w:rsid w:val="006B7783"/>
    <w:rsid w:val="006B7DAD"/>
    <w:rsid w:val="006C39BC"/>
    <w:rsid w:val="006D7F10"/>
    <w:rsid w:val="006E0482"/>
    <w:rsid w:val="006E0988"/>
    <w:rsid w:val="006E140C"/>
    <w:rsid w:val="006E194A"/>
    <w:rsid w:val="006F20F6"/>
    <w:rsid w:val="006F2BBC"/>
    <w:rsid w:val="006F460E"/>
    <w:rsid w:val="006F7AB5"/>
    <w:rsid w:val="007027B8"/>
    <w:rsid w:val="007046C5"/>
    <w:rsid w:val="007120FB"/>
    <w:rsid w:val="00712E70"/>
    <w:rsid w:val="007136B9"/>
    <w:rsid w:val="00714F09"/>
    <w:rsid w:val="007159CC"/>
    <w:rsid w:val="00720873"/>
    <w:rsid w:val="0072264E"/>
    <w:rsid w:val="00724E06"/>
    <w:rsid w:val="00733489"/>
    <w:rsid w:val="007339FC"/>
    <w:rsid w:val="00735981"/>
    <w:rsid w:val="00741935"/>
    <w:rsid w:val="00743124"/>
    <w:rsid w:val="007476B9"/>
    <w:rsid w:val="007535E0"/>
    <w:rsid w:val="00754B0A"/>
    <w:rsid w:val="007636FC"/>
    <w:rsid w:val="0077488F"/>
    <w:rsid w:val="00780702"/>
    <w:rsid w:val="00781656"/>
    <w:rsid w:val="007873D5"/>
    <w:rsid w:val="0079102B"/>
    <w:rsid w:val="00793FAE"/>
    <w:rsid w:val="00796C57"/>
    <w:rsid w:val="007A4559"/>
    <w:rsid w:val="007B3259"/>
    <w:rsid w:val="007B55AC"/>
    <w:rsid w:val="007C1384"/>
    <w:rsid w:val="007D17AA"/>
    <w:rsid w:val="007D1CD1"/>
    <w:rsid w:val="007D2BA8"/>
    <w:rsid w:val="007D5927"/>
    <w:rsid w:val="007D723B"/>
    <w:rsid w:val="007E355A"/>
    <w:rsid w:val="007E4A30"/>
    <w:rsid w:val="007E5E10"/>
    <w:rsid w:val="007E7EB8"/>
    <w:rsid w:val="007F38A4"/>
    <w:rsid w:val="007F5502"/>
    <w:rsid w:val="007F568D"/>
    <w:rsid w:val="007F6173"/>
    <w:rsid w:val="00800CF9"/>
    <w:rsid w:val="008028F7"/>
    <w:rsid w:val="00802AE5"/>
    <w:rsid w:val="0080345F"/>
    <w:rsid w:val="00810A19"/>
    <w:rsid w:val="00815B2D"/>
    <w:rsid w:val="008167F6"/>
    <w:rsid w:val="00816A3A"/>
    <w:rsid w:val="008173CC"/>
    <w:rsid w:val="00820214"/>
    <w:rsid w:val="00820470"/>
    <w:rsid w:val="00820A71"/>
    <w:rsid w:val="00822796"/>
    <w:rsid w:val="00822903"/>
    <w:rsid w:val="008266F4"/>
    <w:rsid w:val="008276C5"/>
    <w:rsid w:val="008316F5"/>
    <w:rsid w:val="0084241A"/>
    <w:rsid w:val="0084451D"/>
    <w:rsid w:val="00846365"/>
    <w:rsid w:val="00846F32"/>
    <w:rsid w:val="00851B55"/>
    <w:rsid w:val="008526E9"/>
    <w:rsid w:val="00852DAB"/>
    <w:rsid w:val="00854BB9"/>
    <w:rsid w:val="008565E8"/>
    <w:rsid w:val="0085784D"/>
    <w:rsid w:val="00864DC2"/>
    <w:rsid w:val="00865153"/>
    <w:rsid w:val="0086590B"/>
    <w:rsid w:val="008663AE"/>
    <w:rsid w:val="0086653A"/>
    <w:rsid w:val="008672D0"/>
    <w:rsid w:val="00871C71"/>
    <w:rsid w:val="008720D0"/>
    <w:rsid w:val="00877372"/>
    <w:rsid w:val="00877A42"/>
    <w:rsid w:val="00881E6A"/>
    <w:rsid w:val="008913EF"/>
    <w:rsid w:val="0089154F"/>
    <w:rsid w:val="00896B69"/>
    <w:rsid w:val="00897306"/>
    <w:rsid w:val="008A110B"/>
    <w:rsid w:val="008A3A39"/>
    <w:rsid w:val="008A53BB"/>
    <w:rsid w:val="008B1B83"/>
    <w:rsid w:val="008B2EA1"/>
    <w:rsid w:val="008B5C08"/>
    <w:rsid w:val="008B617D"/>
    <w:rsid w:val="008C1F13"/>
    <w:rsid w:val="008C5354"/>
    <w:rsid w:val="008C591B"/>
    <w:rsid w:val="008D03C3"/>
    <w:rsid w:val="008D21A1"/>
    <w:rsid w:val="008D2909"/>
    <w:rsid w:val="008D367C"/>
    <w:rsid w:val="008D3B26"/>
    <w:rsid w:val="008D6D89"/>
    <w:rsid w:val="008E19F5"/>
    <w:rsid w:val="008E38C7"/>
    <w:rsid w:val="008E55AC"/>
    <w:rsid w:val="008F0845"/>
    <w:rsid w:val="008F739E"/>
    <w:rsid w:val="0090071A"/>
    <w:rsid w:val="00904580"/>
    <w:rsid w:val="009109DE"/>
    <w:rsid w:val="00910AF5"/>
    <w:rsid w:val="00910B58"/>
    <w:rsid w:val="009113E6"/>
    <w:rsid w:val="00911437"/>
    <w:rsid w:val="00912F24"/>
    <w:rsid w:val="009233A6"/>
    <w:rsid w:val="00930A7C"/>
    <w:rsid w:val="00930F33"/>
    <w:rsid w:val="00934C88"/>
    <w:rsid w:val="00941AB0"/>
    <w:rsid w:val="00946913"/>
    <w:rsid w:val="00953413"/>
    <w:rsid w:val="00960AB1"/>
    <w:rsid w:val="00960FD4"/>
    <w:rsid w:val="0096165C"/>
    <w:rsid w:val="00962121"/>
    <w:rsid w:val="0096245D"/>
    <w:rsid w:val="00966AF0"/>
    <w:rsid w:val="009705CB"/>
    <w:rsid w:val="00972E82"/>
    <w:rsid w:val="00980414"/>
    <w:rsid w:val="0098167D"/>
    <w:rsid w:val="00982AE5"/>
    <w:rsid w:val="0098707E"/>
    <w:rsid w:val="00991605"/>
    <w:rsid w:val="00991AAF"/>
    <w:rsid w:val="00993210"/>
    <w:rsid w:val="00996A55"/>
    <w:rsid w:val="009A6EDD"/>
    <w:rsid w:val="009B1AD8"/>
    <w:rsid w:val="009B2BAC"/>
    <w:rsid w:val="009B4766"/>
    <w:rsid w:val="009B4887"/>
    <w:rsid w:val="009B4CD3"/>
    <w:rsid w:val="009B4EE6"/>
    <w:rsid w:val="009B6BC3"/>
    <w:rsid w:val="009C0D5E"/>
    <w:rsid w:val="009C16F0"/>
    <w:rsid w:val="009C331E"/>
    <w:rsid w:val="009C67D4"/>
    <w:rsid w:val="009D145B"/>
    <w:rsid w:val="009D517E"/>
    <w:rsid w:val="009E2A5F"/>
    <w:rsid w:val="009F04D3"/>
    <w:rsid w:val="009F31EA"/>
    <w:rsid w:val="009F6A1B"/>
    <w:rsid w:val="009F6A1E"/>
    <w:rsid w:val="009F7386"/>
    <w:rsid w:val="009F7DD9"/>
    <w:rsid w:val="00A011D1"/>
    <w:rsid w:val="00A02A16"/>
    <w:rsid w:val="00A053FA"/>
    <w:rsid w:val="00A0665F"/>
    <w:rsid w:val="00A06A50"/>
    <w:rsid w:val="00A07129"/>
    <w:rsid w:val="00A07F02"/>
    <w:rsid w:val="00A11D82"/>
    <w:rsid w:val="00A12E6A"/>
    <w:rsid w:val="00A15424"/>
    <w:rsid w:val="00A17FF3"/>
    <w:rsid w:val="00A21DE2"/>
    <w:rsid w:val="00A23487"/>
    <w:rsid w:val="00A246B4"/>
    <w:rsid w:val="00A270B1"/>
    <w:rsid w:val="00A328DF"/>
    <w:rsid w:val="00A3304B"/>
    <w:rsid w:val="00A35022"/>
    <w:rsid w:val="00A41E97"/>
    <w:rsid w:val="00A435AA"/>
    <w:rsid w:val="00A45FE0"/>
    <w:rsid w:val="00A46308"/>
    <w:rsid w:val="00A51004"/>
    <w:rsid w:val="00A51A86"/>
    <w:rsid w:val="00A521F1"/>
    <w:rsid w:val="00A538D0"/>
    <w:rsid w:val="00A57C8A"/>
    <w:rsid w:val="00A62646"/>
    <w:rsid w:val="00A6350E"/>
    <w:rsid w:val="00A706F5"/>
    <w:rsid w:val="00A70C63"/>
    <w:rsid w:val="00A719DF"/>
    <w:rsid w:val="00A7765F"/>
    <w:rsid w:val="00A8298C"/>
    <w:rsid w:val="00A84C27"/>
    <w:rsid w:val="00A90D65"/>
    <w:rsid w:val="00A921E0"/>
    <w:rsid w:val="00A96423"/>
    <w:rsid w:val="00A96563"/>
    <w:rsid w:val="00AA205D"/>
    <w:rsid w:val="00AA2DAB"/>
    <w:rsid w:val="00AA4849"/>
    <w:rsid w:val="00AA534C"/>
    <w:rsid w:val="00AB214A"/>
    <w:rsid w:val="00AC151B"/>
    <w:rsid w:val="00AC19AA"/>
    <w:rsid w:val="00AC3C83"/>
    <w:rsid w:val="00AD6653"/>
    <w:rsid w:val="00AD742F"/>
    <w:rsid w:val="00AD7E36"/>
    <w:rsid w:val="00AE15CB"/>
    <w:rsid w:val="00AE3F13"/>
    <w:rsid w:val="00AE415A"/>
    <w:rsid w:val="00AF0DC9"/>
    <w:rsid w:val="00AF16E2"/>
    <w:rsid w:val="00AF5EF7"/>
    <w:rsid w:val="00AF7F1C"/>
    <w:rsid w:val="00B00662"/>
    <w:rsid w:val="00B0334C"/>
    <w:rsid w:val="00B07D21"/>
    <w:rsid w:val="00B1168F"/>
    <w:rsid w:val="00B1752B"/>
    <w:rsid w:val="00B17A0C"/>
    <w:rsid w:val="00B20855"/>
    <w:rsid w:val="00B22628"/>
    <w:rsid w:val="00B240BA"/>
    <w:rsid w:val="00B24520"/>
    <w:rsid w:val="00B25B7C"/>
    <w:rsid w:val="00B33400"/>
    <w:rsid w:val="00B36477"/>
    <w:rsid w:val="00B40FBA"/>
    <w:rsid w:val="00B419C4"/>
    <w:rsid w:val="00B43FE2"/>
    <w:rsid w:val="00B46E68"/>
    <w:rsid w:val="00B472D2"/>
    <w:rsid w:val="00B47C16"/>
    <w:rsid w:val="00B51E1A"/>
    <w:rsid w:val="00B54654"/>
    <w:rsid w:val="00B54B80"/>
    <w:rsid w:val="00B55E01"/>
    <w:rsid w:val="00B55F5B"/>
    <w:rsid w:val="00B606E6"/>
    <w:rsid w:val="00B62297"/>
    <w:rsid w:val="00B62BF4"/>
    <w:rsid w:val="00B71C65"/>
    <w:rsid w:val="00B80B61"/>
    <w:rsid w:val="00B81064"/>
    <w:rsid w:val="00B852EE"/>
    <w:rsid w:val="00B90C91"/>
    <w:rsid w:val="00B9317C"/>
    <w:rsid w:val="00B97529"/>
    <w:rsid w:val="00BA1F54"/>
    <w:rsid w:val="00BA3E27"/>
    <w:rsid w:val="00BA41D0"/>
    <w:rsid w:val="00BA5740"/>
    <w:rsid w:val="00BA6538"/>
    <w:rsid w:val="00BB331A"/>
    <w:rsid w:val="00BB568B"/>
    <w:rsid w:val="00BB7DE8"/>
    <w:rsid w:val="00BC0539"/>
    <w:rsid w:val="00BC1666"/>
    <w:rsid w:val="00BC1C36"/>
    <w:rsid w:val="00BC2915"/>
    <w:rsid w:val="00BC2969"/>
    <w:rsid w:val="00BC3AE2"/>
    <w:rsid w:val="00BC7EEC"/>
    <w:rsid w:val="00BD5700"/>
    <w:rsid w:val="00BE065A"/>
    <w:rsid w:val="00BE459A"/>
    <w:rsid w:val="00BE6A0F"/>
    <w:rsid w:val="00BE71BB"/>
    <w:rsid w:val="00BF2228"/>
    <w:rsid w:val="00C075B9"/>
    <w:rsid w:val="00C10190"/>
    <w:rsid w:val="00C1115E"/>
    <w:rsid w:val="00C15575"/>
    <w:rsid w:val="00C24884"/>
    <w:rsid w:val="00C36168"/>
    <w:rsid w:val="00C37135"/>
    <w:rsid w:val="00C467B4"/>
    <w:rsid w:val="00C46BE6"/>
    <w:rsid w:val="00C4720C"/>
    <w:rsid w:val="00C519A1"/>
    <w:rsid w:val="00C53C0E"/>
    <w:rsid w:val="00C551BC"/>
    <w:rsid w:val="00C55754"/>
    <w:rsid w:val="00C627D5"/>
    <w:rsid w:val="00C63CFF"/>
    <w:rsid w:val="00C649BF"/>
    <w:rsid w:val="00C70275"/>
    <w:rsid w:val="00C71E1C"/>
    <w:rsid w:val="00C7369B"/>
    <w:rsid w:val="00C7686A"/>
    <w:rsid w:val="00C82057"/>
    <w:rsid w:val="00C827F3"/>
    <w:rsid w:val="00C96C7E"/>
    <w:rsid w:val="00C972C1"/>
    <w:rsid w:val="00CA34D6"/>
    <w:rsid w:val="00CA5E20"/>
    <w:rsid w:val="00CA64E3"/>
    <w:rsid w:val="00CA7B9E"/>
    <w:rsid w:val="00CB2C12"/>
    <w:rsid w:val="00CB57BA"/>
    <w:rsid w:val="00CB723E"/>
    <w:rsid w:val="00CC2819"/>
    <w:rsid w:val="00CD18C4"/>
    <w:rsid w:val="00CD3F5F"/>
    <w:rsid w:val="00CE17EB"/>
    <w:rsid w:val="00CE29D0"/>
    <w:rsid w:val="00CE4DAC"/>
    <w:rsid w:val="00CF03F9"/>
    <w:rsid w:val="00CF23FD"/>
    <w:rsid w:val="00CF2C12"/>
    <w:rsid w:val="00CF2EB4"/>
    <w:rsid w:val="00CF794E"/>
    <w:rsid w:val="00CF7E3C"/>
    <w:rsid w:val="00D03975"/>
    <w:rsid w:val="00D106CD"/>
    <w:rsid w:val="00D133DB"/>
    <w:rsid w:val="00D23457"/>
    <w:rsid w:val="00D2427A"/>
    <w:rsid w:val="00D32C7A"/>
    <w:rsid w:val="00D46C88"/>
    <w:rsid w:val="00D46E1A"/>
    <w:rsid w:val="00D5172D"/>
    <w:rsid w:val="00D51B70"/>
    <w:rsid w:val="00D53AD5"/>
    <w:rsid w:val="00D57D14"/>
    <w:rsid w:val="00D602B9"/>
    <w:rsid w:val="00D608AA"/>
    <w:rsid w:val="00D645B8"/>
    <w:rsid w:val="00D6559D"/>
    <w:rsid w:val="00D729C3"/>
    <w:rsid w:val="00D749B8"/>
    <w:rsid w:val="00D74E16"/>
    <w:rsid w:val="00D76616"/>
    <w:rsid w:val="00D76B42"/>
    <w:rsid w:val="00D76CB5"/>
    <w:rsid w:val="00D8016E"/>
    <w:rsid w:val="00D83424"/>
    <w:rsid w:val="00D83904"/>
    <w:rsid w:val="00D8564C"/>
    <w:rsid w:val="00D8616A"/>
    <w:rsid w:val="00D867A1"/>
    <w:rsid w:val="00D86FBC"/>
    <w:rsid w:val="00D8709C"/>
    <w:rsid w:val="00D90F33"/>
    <w:rsid w:val="00D92F73"/>
    <w:rsid w:val="00D94807"/>
    <w:rsid w:val="00D96397"/>
    <w:rsid w:val="00DA72E3"/>
    <w:rsid w:val="00DA7574"/>
    <w:rsid w:val="00DB20CE"/>
    <w:rsid w:val="00DB29CC"/>
    <w:rsid w:val="00DB46CD"/>
    <w:rsid w:val="00DC1723"/>
    <w:rsid w:val="00DD2296"/>
    <w:rsid w:val="00DD3396"/>
    <w:rsid w:val="00DD4CC9"/>
    <w:rsid w:val="00DE0929"/>
    <w:rsid w:val="00DE0A84"/>
    <w:rsid w:val="00DE74A6"/>
    <w:rsid w:val="00DF249A"/>
    <w:rsid w:val="00DF46CC"/>
    <w:rsid w:val="00DF4EF4"/>
    <w:rsid w:val="00DF7ADD"/>
    <w:rsid w:val="00E002A7"/>
    <w:rsid w:val="00E01DFE"/>
    <w:rsid w:val="00E0507D"/>
    <w:rsid w:val="00E066D7"/>
    <w:rsid w:val="00E07ADD"/>
    <w:rsid w:val="00E12D69"/>
    <w:rsid w:val="00E13D58"/>
    <w:rsid w:val="00E160A8"/>
    <w:rsid w:val="00E2172A"/>
    <w:rsid w:val="00E22D11"/>
    <w:rsid w:val="00E2382F"/>
    <w:rsid w:val="00E2671F"/>
    <w:rsid w:val="00E30740"/>
    <w:rsid w:val="00E31901"/>
    <w:rsid w:val="00E3269D"/>
    <w:rsid w:val="00E350E5"/>
    <w:rsid w:val="00E37CA5"/>
    <w:rsid w:val="00E37E51"/>
    <w:rsid w:val="00E40A6A"/>
    <w:rsid w:val="00E40ABD"/>
    <w:rsid w:val="00E43BB2"/>
    <w:rsid w:val="00E55A8B"/>
    <w:rsid w:val="00E60944"/>
    <w:rsid w:val="00E629D0"/>
    <w:rsid w:val="00E647EF"/>
    <w:rsid w:val="00E64AA3"/>
    <w:rsid w:val="00E65AFC"/>
    <w:rsid w:val="00E66FA4"/>
    <w:rsid w:val="00E71A5A"/>
    <w:rsid w:val="00E765DB"/>
    <w:rsid w:val="00E8006A"/>
    <w:rsid w:val="00E80C29"/>
    <w:rsid w:val="00E81F95"/>
    <w:rsid w:val="00E86CA7"/>
    <w:rsid w:val="00E90F8A"/>
    <w:rsid w:val="00E92079"/>
    <w:rsid w:val="00E93799"/>
    <w:rsid w:val="00E93F0B"/>
    <w:rsid w:val="00EA5F8A"/>
    <w:rsid w:val="00EB1193"/>
    <w:rsid w:val="00EB555E"/>
    <w:rsid w:val="00EB6871"/>
    <w:rsid w:val="00EC099D"/>
    <w:rsid w:val="00EC12AC"/>
    <w:rsid w:val="00EC5B27"/>
    <w:rsid w:val="00ED24FF"/>
    <w:rsid w:val="00ED2ADF"/>
    <w:rsid w:val="00ED38E4"/>
    <w:rsid w:val="00ED6781"/>
    <w:rsid w:val="00EE24E8"/>
    <w:rsid w:val="00EE4335"/>
    <w:rsid w:val="00EE500F"/>
    <w:rsid w:val="00EE5750"/>
    <w:rsid w:val="00EE5D73"/>
    <w:rsid w:val="00EE63EA"/>
    <w:rsid w:val="00EF13D5"/>
    <w:rsid w:val="00EF5D6D"/>
    <w:rsid w:val="00F01C13"/>
    <w:rsid w:val="00F03252"/>
    <w:rsid w:val="00F14390"/>
    <w:rsid w:val="00F1461F"/>
    <w:rsid w:val="00F14A78"/>
    <w:rsid w:val="00F21AA5"/>
    <w:rsid w:val="00F24016"/>
    <w:rsid w:val="00F24BAE"/>
    <w:rsid w:val="00F35F73"/>
    <w:rsid w:val="00F43C2A"/>
    <w:rsid w:val="00F530CF"/>
    <w:rsid w:val="00F54EEA"/>
    <w:rsid w:val="00F55B68"/>
    <w:rsid w:val="00F57E31"/>
    <w:rsid w:val="00F612B4"/>
    <w:rsid w:val="00F63A0B"/>
    <w:rsid w:val="00F63CB2"/>
    <w:rsid w:val="00F7053F"/>
    <w:rsid w:val="00F73A9B"/>
    <w:rsid w:val="00F75B3E"/>
    <w:rsid w:val="00F8182D"/>
    <w:rsid w:val="00F8329E"/>
    <w:rsid w:val="00F84865"/>
    <w:rsid w:val="00F84A96"/>
    <w:rsid w:val="00F86816"/>
    <w:rsid w:val="00F874CF"/>
    <w:rsid w:val="00F87A19"/>
    <w:rsid w:val="00F93B8C"/>
    <w:rsid w:val="00F948B6"/>
    <w:rsid w:val="00F9705D"/>
    <w:rsid w:val="00FA0BBF"/>
    <w:rsid w:val="00FA132C"/>
    <w:rsid w:val="00FA1E85"/>
    <w:rsid w:val="00FA64FC"/>
    <w:rsid w:val="00FB2334"/>
    <w:rsid w:val="00FB4563"/>
    <w:rsid w:val="00FB47C3"/>
    <w:rsid w:val="00FB5582"/>
    <w:rsid w:val="00FC0FCA"/>
    <w:rsid w:val="00FC256D"/>
    <w:rsid w:val="00FC6FC1"/>
    <w:rsid w:val="00FD1DCD"/>
    <w:rsid w:val="00FD5774"/>
    <w:rsid w:val="00FD605B"/>
    <w:rsid w:val="00FE1A78"/>
    <w:rsid w:val="00FE2AAF"/>
    <w:rsid w:val="00FE51C4"/>
    <w:rsid w:val="00FE788D"/>
    <w:rsid w:val="00FF5FF4"/>
    <w:rsid w:val="00FF7B06"/>
    <w:rsid w:val="3B1961A4"/>
    <w:rsid w:val="445B64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41872"/>
  <w15:chartTrackingRefBased/>
  <w15:docId w15:val="{79321B4C-8DCF-4836-A1AD-CE0FF9F5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399"/>
    <w:pPr>
      <w:spacing w:line="276" w:lineRule="auto"/>
      <w:jc w:val="both"/>
    </w:pPr>
    <w:rPr>
      <w:rFonts w:ascii="Graphik Regular" w:hAnsi="Graphik Regular" w:cs="Arial"/>
      <w:sz w:val="20"/>
      <w:szCs w:val="20"/>
    </w:rPr>
  </w:style>
  <w:style w:type="paragraph" w:styleId="Ttulo1">
    <w:name w:val="heading 1"/>
    <w:basedOn w:val="Normal"/>
    <w:next w:val="Normal"/>
    <w:link w:val="Ttulo1Car"/>
    <w:uiPriority w:val="9"/>
    <w:qFormat/>
    <w:rsid w:val="00321587"/>
    <w:pPr>
      <w:numPr>
        <w:numId w:val="24"/>
      </w:numPr>
      <w:outlineLvl w:val="0"/>
    </w:pPr>
    <w:rPr>
      <w:rFonts w:ascii="Graphik Black" w:hAnsi="Graphik Black"/>
      <w:sz w:val="22"/>
    </w:rPr>
  </w:style>
  <w:style w:type="paragraph" w:styleId="Ttulo2">
    <w:name w:val="heading 2"/>
    <w:basedOn w:val="Normal"/>
    <w:next w:val="Normal"/>
    <w:link w:val="Ttulo2Car"/>
    <w:uiPriority w:val="9"/>
    <w:unhideWhenUsed/>
    <w:qFormat/>
    <w:rsid w:val="00E13D58"/>
    <w:pPr>
      <w:keepNext/>
      <w:keepLines/>
      <w:spacing w:before="40" w:after="0"/>
      <w:outlineLvl w:val="1"/>
    </w:pPr>
    <w:rPr>
      <w:rFonts w:ascii="Graphik Black" w:eastAsiaTheme="majorEastAsia" w:hAnsi="Graphik Black" w:cstheme="majorBidi"/>
      <w:color w:val="0070C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74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7491"/>
  </w:style>
  <w:style w:type="paragraph" w:styleId="Piedepgina">
    <w:name w:val="footer"/>
    <w:basedOn w:val="Normal"/>
    <w:link w:val="PiedepginaCar"/>
    <w:uiPriority w:val="99"/>
    <w:unhideWhenUsed/>
    <w:rsid w:val="001774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7491"/>
  </w:style>
  <w:style w:type="paragraph" w:styleId="Prrafodelista">
    <w:name w:val="List Paragraph"/>
    <w:basedOn w:val="Normal"/>
    <w:uiPriority w:val="34"/>
    <w:qFormat/>
    <w:rsid w:val="00FD1DCD"/>
    <w:pPr>
      <w:ind w:left="720"/>
      <w:contextualSpacing/>
    </w:pPr>
  </w:style>
  <w:style w:type="character" w:customStyle="1" w:styleId="Ttulo1Car">
    <w:name w:val="Título 1 Car"/>
    <w:basedOn w:val="Fuentedeprrafopredeter"/>
    <w:link w:val="Ttulo1"/>
    <w:uiPriority w:val="9"/>
    <w:rsid w:val="00321587"/>
    <w:rPr>
      <w:rFonts w:ascii="Graphik Black" w:hAnsi="Graphik Black" w:cs="Arial"/>
      <w:szCs w:val="20"/>
    </w:rPr>
  </w:style>
  <w:style w:type="character" w:customStyle="1" w:styleId="Ttulo2Car">
    <w:name w:val="Título 2 Car"/>
    <w:basedOn w:val="Fuentedeprrafopredeter"/>
    <w:link w:val="Ttulo2"/>
    <w:uiPriority w:val="9"/>
    <w:rsid w:val="00E13D58"/>
    <w:rPr>
      <w:rFonts w:ascii="Graphik Black" w:eastAsiaTheme="majorEastAsia" w:hAnsi="Graphik Black" w:cstheme="majorBidi"/>
      <w:color w:val="0070C0"/>
      <w:sz w:val="24"/>
      <w:szCs w:val="24"/>
    </w:rPr>
  </w:style>
  <w:style w:type="paragraph" w:styleId="TtuloTDC">
    <w:name w:val="TOC Heading"/>
    <w:basedOn w:val="Ttulo1"/>
    <w:next w:val="Normal"/>
    <w:uiPriority w:val="39"/>
    <w:unhideWhenUsed/>
    <w:qFormat/>
    <w:rsid w:val="00072C3A"/>
    <w:pPr>
      <w:outlineLvl w:val="9"/>
    </w:pPr>
    <w:rPr>
      <w:lang w:eastAsia="es-ES"/>
    </w:rPr>
  </w:style>
  <w:style w:type="paragraph" w:styleId="TDC1">
    <w:name w:val="toc 1"/>
    <w:basedOn w:val="Normal"/>
    <w:next w:val="Normal"/>
    <w:autoRedefine/>
    <w:uiPriority w:val="39"/>
    <w:unhideWhenUsed/>
    <w:rsid w:val="00072C3A"/>
    <w:pPr>
      <w:spacing w:after="100"/>
    </w:pPr>
  </w:style>
  <w:style w:type="paragraph" w:styleId="TDC2">
    <w:name w:val="toc 2"/>
    <w:basedOn w:val="Normal"/>
    <w:next w:val="Normal"/>
    <w:autoRedefine/>
    <w:uiPriority w:val="39"/>
    <w:unhideWhenUsed/>
    <w:rsid w:val="00072C3A"/>
    <w:pPr>
      <w:spacing w:after="100"/>
      <w:ind w:left="220"/>
    </w:pPr>
  </w:style>
  <w:style w:type="character" w:styleId="Hipervnculo">
    <w:name w:val="Hyperlink"/>
    <w:basedOn w:val="Fuentedeprrafopredeter"/>
    <w:uiPriority w:val="99"/>
    <w:unhideWhenUsed/>
    <w:rsid w:val="00072C3A"/>
    <w:rPr>
      <w:color w:val="0563C1" w:themeColor="hyperlink"/>
      <w:u w:val="single"/>
    </w:rPr>
  </w:style>
  <w:style w:type="character" w:styleId="Refdecomentario">
    <w:name w:val="annotation reference"/>
    <w:basedOn w:val="Fuentedeprrafopredeter"/>
    <w:uiPriority w:val="99"/>
    <w:semiHidden/>
    <w:unhideWhenUsed/>
    <w:rsid w:val="006E140C"/>
    <w:rPr>
      <w:sz w:val="16"/>
      <w:szCs w:val="16"/>
    </w:rPr>
  </w:style>
  <w:style w:type="paragraph" w:styleId="Textocomentario">
    <w:name w:val="annotation text"/>
    <w:basedOn w:val="Normal"/>
    <w:link w:val="TextocomentarioCar"/>
    <w:uiPriority w:val="99"/>
    <w:semiHidden/>
    <w:unhideWhenUsed/>
    <w:rsid w:val="006E140C"/>
    <w:pPr>
      <w:spacing w:line="240" w:lineRule="auto"/>
    </w:pPr>
  </w:style>
  <w:style w:type="character" w:customStyle="1" w:styleId="TextocomentarioCar">
    <w:name w:val="Texto comentario Car"/>
    <w:basedOn w:val="Fuentedeprrafopredeter"/>
    <w:link w:val="Textocomentario"/>
    <w:uiPriority w:val="99"/>
    <w:semiHidden/>
    <w:rsid w:val="006E140C"/>
    <w:rPr>
      <w:sz w:val="20"/>
      <w:szCs w:val="20"/>
    </w:rPr>
  </w:style>
  <w:style w:type="paragraph" w:styleId="Asuntodelcomentario">
    <w:name w:val="annotation subject"/>
    <w:basedOn w:val="Textocomentario"/>
    <w:next w:val="Textocomentario"/>
    <w:link w:val="AsuntodelcomentarioCar"/>
    <w:uiPriority w:val="99"/>
    <w:semiHidden/>
    <w:unhideWhenUsed/>
    <w:rsid w:val="006E140C"/>
    <w:rPr>
      <w:b/>
      <w:bCs/>
    </w:rPr>
  </w:style>
  <w:style w:type="character" w:customStyle="1" w:styleId="AsuntodelcomentarioCar">
    <w:name w:val="Asunto del comentario Car"/>
    <w:basedOn w:val="TextocomentarioCar"/>
    <w:link w:val="Asuntodelcomentario"/>
    <w:uiPriority w:val="99"/>
    <w:semiHidden/>
    <w:rsid w:val="006E140C"/>
    <w:rPr>
      <w:b/>
      <w:bCs/>
      <w:sz w:val="20"/>
      <w:szCs w:val="20"/>
    </w:rPr>
  </w:style>
  <w:style w:type="paragraph" w:styleId="Textodeglobo">
    <w:name w:val="Balloon Text"/>
    <w:basedOn w:val="Normal"/>
    <w:link w:val="TextodegloboCar"/>
    <w:uiPriority w:val="99"/>
    <w:semiHidden/>
    <w:unhideWhenUsed/>
    <w:rsid w:val="006E14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40C"/>
    <w:rPr>
      <w:rFonts w:ascii="Segoe UI" w:hAnsi="Segoe UI" w:cs="Segoe UI"/>
      <w:sz w:val="18"/>
      <w:szCs w:val="18"/>
    </w:rPr>
  </w:style>
  <w:style w:type="paragraph" w:styleId="Revisin">
    <w:name w:val="Revision"/>
    <w:hidden/>
    <w:uiPriority w:val="99"/>
    <w:semiHidden/>
    <w:rsid w:val="00352372"/>
    <w:pPr>
      <w:spacing w:after="0" w:line="240" w:lineRule="auto"/>
    </w:pPr>
  </w:style>
  <w:style w:type="character" w:styleId="nfasis">
    <w:name w:val="Emphasis"/>
    <w:basedOn w:val="Fuentedeprrafopredeter"/>
    <w:uiPriority w:val="20"/>
    <w:qFormat/>
    <w:rsid w:val="007046C5"/>
    <w:rPr>
      <w:i/>
      <w:iCs/>
    </w:rPr>
  </w:style>
  <w:style w:type="character" w:styleId="nfasissutil">
    <w:name w:val="Subtle Emphasis"/>
    <w:uiPriority w:val="19"/>
    <w:qFormat/>
    <w:rsid w:val="00084399"/>
    <w:rPr>
      <w:rFonts w:ascii="Graphik Black" w:hAnsi="Graphik Black" w:cs="Arial"/>
      <w:sz w:val="20"/>
      <w:szCs w:val="20"/>
    </w:rPr>
  </w:style>
  <w:style w:type="character" w:styleId="Mencinsinresolver">
    <w:name w:val="Unresolved Mention"/>
    <w:basedOn w:val="Fuentedeprrafopredeter"/>
    <w:uiPriority w:val="99"/>
    <w:unhideWhenUsed/>
    <w:rsid w:val="003D6DC3"/>
    <w:rPr>
      <w:color w:val="605E5C"/>
      <w:shd w:val="clear" w:color="auto" w:fill="E1DFDD"/>
    </w:rPr>
  </w:style>
  <w:style w:type="character" w:customStyle="1" w:styleId="normaltextrun">
    <w:name w:val="normaltextrun"/>
    <w:basedOn w:val="Fuentedeprrafopredeter"/>
    <w:rsid w:val="00CC2819"/>
  </w:style>
  <w:style w:type="character" w:customStyle="1" w:styleId="eop">
    <w:name w:val="eop"/>
    <w:basedOn w:val="Fuentedeprrafopredeter"/>
    <w:rsid w:val="00CC2819"/>
  </w:style>
  <w:style w:type="paragraph" w:customStyle="1" w:styleId="paragraph">
    <w:name w:val="paragraph"/>
    <w:basedOn w:val="Normal"/>
    <w:rsid w:val="00105FE0"/>
    <w:pPr>
      <w:spacing w:before="100" w:beforeAutospacing="1" w:after="100" w:afterAutospacing="1" w:line="240" w:lineRule="auto"/>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8755">
      <w:bodyDiv w:val="1"/>
      <w:marLeft w:val="0"/>
      <w:marRight w:val="0"/>
      <w:marTop w:val="0"/>
      <w:marBottom w:val="0"/>
      <w:divBdr>
        <w:top w:val="none" w:sz="0" w:space="0" w:color="auto"/>
        <w:left w:val="none" w:sz="0" w:space="0" w:color="auto"/>
        <w:bottom w:val="none" w:sz="0" w:space="0" w:color="auto"/>
        <w:right w:val="none" w:sz="0" w:space="0" w:color="auto"/>
      </w:divBdr>
    </w:div>
    <w:div w:id="162358582">
      <w:bodyDiv w:val="1"/>
      <w:marLeft w:val="0"/>
      <w:marRight w:val="0"/>
      <w:marTop w:val="0"/>
      <w:marBottom w:val="0"/>
      <w:divBdr>
        <w:top w:val="none" w:sz="0" w:space="0" w:color="auto"/>
        <w:left w:val="none" w:sz="0" w:space="0" w:color="auto"/>
        <w:bottom w:val="none" w:sz="0" w:space="0" w:color="auto"/>
        <w:right w:val="none" w:sz="0" w:space="0" w:color="auto"/>
      </w:divBdr>
      <w:divsChild>
        <w:div w:id="61678299">
          <w:marLeft w:val="0"/>
          <w:marRight w:val="0"/>
          <w:marTop w:val="0"/>
          <w:marBottom w:val="0"/>
          <w:divBdr>
            <w:top w:val="none" w:sz="0" w:space="0" w:color="auto"/>
            <w:left w:val="none" w:sz="0" w:space="0" w:color="auto"/>
            <w:bottom w:val="none" w:sz="0" w:space="0" w:color="auto"/>
            <w:right w:val="none" w:sz="0" w:space="0" w:color="auto"/>
          </w:divBdr>
        </w:div>
        <w:div w:id="1417676040">
          <w:marLeft w:val="0"/>
          <w:marRight w:val="0"/>
          <w:marTop w:val="0"/>
          <w:marBottom w:val="0"/>
          <w:divBdr>
            <w:top w:val="none" w:sz="0" w:space="0" w:color="auto"/>
            <w:left w:val="none" w:sz="0" w:space="0" w:color="auto"/>
            <w:bottom w:val="none" w:sz="0" w:space="0" w:color="auto"/>
            <w:right w:val="none" w:sz="0" w:space="0" w:color="auto"/>
          </w:divBdr>
        </w:div>
      </w:divsChild>
    </w:div>
    <w:div w:id="183057208">
      <w:bodyDiv w:val="1"/>
      <w:marLeft w:val="0"/>
      <w:marRight w:val="0"/>
      <w:marTop w:val="0"/>
      <w:marBottom w:val="0"/>
      <w:divBdr>
        <w:top w:val="none" w:sz="0" w:space="0" w:color="auto"/>
        <w:left w:val="none" w:sz="0" w:space="0" w:color="auto"/>
        <w:bottom w:val="none" w:sz="0" w:space="0" w:color="auto"/>
        <w:right w:val="none" w:sz="0" w:space="0" w:color="auto"/>
      </w:divBdr>
      <w:divsChild>
        <w:div w:id="607616322">
          <w:marLeft w:val="0"/>
          <w:marRight w:val="0"/>
          <w:marTop w:val="0"/>
          <w:marBottom w:val="0"/>
          <w:divBdr>
            <w:top w:val="none" w:sz="0" w:space="0" w:color="auto"/>
            <w:left w:val="none" w:sz="0" w:space="0" w:color="auto"/>
            <w:bottom w:val="none" w:sz="0" w:space="0" w:color="auto"/>
            <w:right w:val="none" w:sz="0" w:space="0" w:color="auto"/>
          </w:divBdr>
        </w:div>
      </w:divsChild>
    </w:div>
    <w:div w:id="260987518">
      <w:bodyDiv w:val="1"/>
      <w:marLeft w:val="0"/>
      <w:marRight w:val="0"/>
      <w:marTop w:val="0"/>
      <w:marBottom w:val="0"/>
      <w:divBdr>
        <w:top w:val="none" w:sz="0" w:space="0" w:color="auto"/>
        <w:left w:val="none" w:sz="0" w:space="0" w:color="auto"/>
        <w:bottom w:val="none" w:sz="0" w:space="0" w:color="auto"/>
        <w:right w:val="none" w:sz="0" w:space="0" w:color="auto"/>
      </w:divBdr>
    </w:div>
    <w:div w:id="299309251">
      <w:bodyDiv w:val="1"/>
      <w:marLeft w:val="0"/>
      <w:marRight w:val="0"/>
      <w:marTop w:val="0"/>
      <w:marBottom w:val="0"/>
      <w:divBdr>
        <w:top w:val="none" w:sz="0" w:space="0" w:color="auto"/>
        <w:left w:val="none" w:sz="0" w:space="0" w:color="auto"/>
        <w:bottom w:val="none" w:sz="0" w:space="0" w:color="auto"/>
        <w:right w:val="none" w:sz="0" w:space="0" w:color="auto"/>
      </w:divBdr>
    </w:div>
    <w:div w:id="478545454">
      <w:bodyDiv w:val="1"/>
      <w:marLeft w:val="0"/>
      <w:marRight w:val="0"/>
      <w:marTop w:val="0"/>
      <w:marBottom w:val="0"/>
      <w:divBdr>
        <w:top w:val="none" w:sz="0" w:space="0" w:color="auto"/>
        <w:left w:val="none" w:sz="0" w:space="0" w:color="auto"/>
        <w:bottom w:val="none" w:sz="0" w:space="0" w:color="auto"/>
        <w:right w:val="none" w:sz="0" w:space="0" w:color="auto"/>
      </w:divBdr>
    </w:div>
    <w:div w:id="650062509">
      <w:bodyDiv w:val="1"/>
      <w:marLeft w:val="0"/>
      <w:marRight w:val="0"/>
      <w:marTop w:val="0"/>
      <w:marBottom w:val="0"/>
      <w:divBdr>
        <w:top w:val="none" w:sz="0" w:space="0" w:color="auto"/>
        <w:left w:val="none" w:sz="0" w:space="0" w:color="auto"/>
        <w:bottom w:val="none" w:sz="0" w:space="0" w:color="auto"/>
        <w:right w:val="none" w:sz="0" w:space="0" w:color="auto"/>
      </w:divBdr>
    </w:div>
    <w:div w:id="748041270">
      <w:bodyDiv w:val="1"/>
      <w:marLeft w:val="0"/>
      <w:marRight w:val="0"/>
      <w:marTop w:val="0"/>
      <w:marBottom w:val="0"/>
      <w:divBdr>
        <w:top w:val="none" w:sz="0" w:space="0" w:color="auto"/>
        <w:left w:val="none" w:sz="0" w:space="0" w:color="auto"/>
        <w:bottom w:val="none" w:sz="0" w:space="0" w:color="auto"/>
        <w:right w:val="none" w:sz="0" w:space="0" w:color="auto"/>
      </w:divBdr>
    </w:div>
    <w:div w:id="1039353405">
      <w:bodyDiv w:val="1"/>
      <w:marLeft w:val="0"/>
      <w:marRight w:val="0"/>
      <w:marTop w:val="0"/>
      <w:marBottom w:val="0"/>
      <w:divBdr>
        <w:top w:val="none" w:sz="0" w:space="0" w:color="auto"/>
        <w:left w:val="none" w:sz="0" w:space="0" w:color="auto"/>
        <w:bottom w:val="none" w:sz="0" w:space="0" w:color="auto"/>
        <w:right w:val="none" w:sz="0" w:space="0" w:color="auto"/>
      </w:divBdr>
      <w:divsChild>
        <w:div w:id="603272048">
          <w:marLeft w:val="0"/>
          <w:marRight w:val="0"/>
          <w:marTop w:val="0"/>
          <w:marBottom w:val="0"/>
          <w:divBdr>
            <w:top w:val="none" w:sz="0" w:space="0" w:color="auto"/>
            <w:left w:val="none" w:sz="0" w:space="0" w:color="auto"/>
            <w:bottom w:val="none" w:sz="0" w:space="0" w:color="auto"/>
            <w:right w:val="none" w:sz="0" w:space="0" w:color="auto"/>
          </w:divBdr>
        </w:div>
        <w:div w:id="1880513784">
          <w:marLeft w:val="0"/>
          <w:marRight w:val="0"/>
          <w:marTop w:val="0"/>
          <w:marBottom w:val="0"/>
          <w:divBdr>
            <w:top w:val="none" w:sz="0" w:space="0" w:color="auto"/>
            <w:left w:val="none" w:sz="0" w:space="0" w:color="auto"/>
            <w:bottom w:val="none" w:sz="0" w:space="0" w:color="auto"/>
            <w:right w:val="none" w:sz="0" w:space="0" w:color="auto"/>
          </w:divBdr>
        </w:div>
        <w:div w:id="1277709521">
          <w:marLeft w:val="0"/>
          <w:marRight w:val="0"/>
          <w:marTop w:val="0"/>
          <w:marBottom w:val="0"/>
          <w:divBdr>
            <w:top w:val="none" w:sz="0" w:space="0" w:color="auto"/>
            <w:left w:val="none" w:sz="0" w:space="0" w:color="auto"/>
            <w:bottom w:val="none" w:sz="0" w:space="0" w:color="auto"/>
            <w:right w:val="none" w:sz="0" w:space="0" w:color="auto"/>
          </w:divBdr>
        </w:div>
        <w:div w:id="189149431">
          <w:marLeft w:val="0"/>
          <w:marRight w:val="0"/>
          <w:marTop w:val="0"/>
          <w:marBottom w:val="0"/>
          <w:divBdr>
            <w:top w:val="none" w:sz="0" w:space="0" w:color="auto"/>
            <w:left w:val="none" w:sz="0" w:space="0" w:color="auto"/>
            <w:bottom w:val="none" w:sz="0" w:space="0" w:color="auto"/>
            <w:right w:val="none" w:sz="0" w:space="0" w:color="auto"/>
          </w:divBdr>
        </w:div>
        <w:div w:id="300186297">
          <w:marLeft w:val="0"/>
          <w:marRight w:val="0"/>
          <w:marTop w:val="0"/>
          <w:marBottom w:val="0"/>
          <w:divBdr>
            <w:top w:val="none" w:sz="0" w:space="0" w:color="auto"/>
            <w:left w:val="none" w:sz="0" w:space="0" w:color="auto"/>
            <w:bottom w:val="none" w:sz="0" w:space="0" w:color="auto"/>
            <w:right w:val="none" w:sz="0" w:space="0" w:color="auto"/>
          </w:divBdr>
        </w:div>
      </w:divsChild>
    </w:div>
    <w:div w:id="1195386650">
      <w:bodyDiv w:val="1"/>
      <w:marLeft w:val="0"/>
      <w:marRight w:val="0"/>
      <w:marTop w:val="0"/>
      <w:marBottom w:val="0"/>
      <w:divBdr>
        <w:top w:val="none" w:sz="0" w:space="0" w:color="auto"/>
        <w:left w:val="none" w:sz="0" w:space="0" w:color="auto"/>
        <w:bottom w:val="none" w:sz="0" w:space="0" w:color="auto"/>
        <w:right w:val="none" w:sz="0" w:space="0" w:color="auto"/>
      </w:divBdr>
    </w:div>
    <w:div w:id="1241719751">
      <w:bodyDiv w:val="1"/>
      <w:marLeft w:val="0"/>
      <w:marRight w:val="0"/>
      <w:marTop w:val="0"/>
      <w:marBottom w:val="0"/>
      <w:divBdr>
        <w:top w:val="none" w:sz="0" w:space="0" w:color="auto"/>
        <w:left w:val="none" w:sz="0" w:space="0" w:color="auto"/>
        <w:bottom w:val="none" w:sz="0" w:space="0" w:color="auto"/>
        <w:right w:val="none" w:sz="0" w:space="0" w:color="auto"/>
      </w:divBdr>
      <w:divsChild>
        <w:div w:id="1696615106">
          <w:marLeft w:val="0"/>
          <w:marRight w:val="0"/>
          <w:marTop w:val="0"/>
          <w:marBottom w:val="0"/>
          <w:divBdr>
            <w:top w:val="none" w:sz="0" w:space="0" w:color="auto"/>
            <w:left w:val="none" w:sz="0" w:space="0" w:color="auto"/>
            <w:bottom w:val="none" w:sz="0" w:space="0" w:color="auto"/>
            <w:right w:val="none" w:sz="0" w:space="0" w:color="auto"/>
          </w:divBdr>
          <w:divsChild>
            <w:div w:id="229122836">
              <w:marLeft w:val="0"/>
              <w:marRight w:val="0"/>
              <w:marTop w:val="0"/>
              <w:marBottom w:val="0"/>
              <w:divBdr>
                <w:top w:val="none" w:sz="0" w:space="0" w:color="auto"/>
                <w:left w:val="none" w:sz="0" w:space="0" w:color="auto"/>
                <w:bottom w:val="none" w:sz="0" w:space="0" w:color="auto"/>
                <w:right w:val="none" w:sz="0" w:space="0" w:color="auto"/>
              </w:divBdr>
            </w:div>
            <w:div w:id="1178009992">
              <w:marLeft w:val="0"/>
              <w:marRight w:val="0"/>
              <w:marTop w:val="0"/>
              <w:marBottom w:val="0"/>
              <w:divBdr>
                <w:top w:val="none" w:sz="0" w:space="0" w:color="auto"/>
                <w:left w:val="none" w:sz="0" w:space="0" w:color="auto"/>
                <w:bottom w:val="none" w:sz="0" w:space="0" w:color="auto"/>
                <w:right w:val="none" w:sz="0" w:space="0" w:color="auto"/>
              </w:divBdr>
            </w:div>
            <w:div w:id="1592853593">
              <w:marLeft w:val="0"/>
              <w:marRight w:val="0"/>
              <w:marTop w:val="0"/>
              <w:marBottom w:val="0"/>
              <w:divBdr>
                <w:top w:val="none" w:sz="0" w:space="0" w:color="auto"/>
                <w:left w:val="none" w:sz="0" w:space="0" w:color="auto"/>
                <w:bottom w:val="none" w:sz="0" w:space="0" w:color="auto"/>
                <w:right w:val="none" w:sz="0" w:space="0" w:color="auto"/>
              </w:divBdr>
            </w:div>
          </w:divsChild>
        </w:div>
        <w:div w:id="456802879">
          <w:marLeft w:val="0"/>
          <w:marRight w:val="0"/>
          <w:marTop w:val="0"/>
          <w:marBottom w:val="0"/>
          <w:divBdr>
            <w:top w:val="none" w:sz="0" w:space="0" w:color="auto"/>
            <w:left w:val="none" w:sz="0" w:space="0" w:color="auto"/>
            <w:bottom w:val="none" w:sz="0" w:space="0" w:color="auto"/>
            <w:right w:val="none" w:sz="0" w:space="0" w:color="auto"/>
          </w:divBdr>
          <w:divsChild>
            <w:div w:id="824128349">
              <w:marLeft w:val="0"/>
              <w:marRight w:val="0"/>
              <w:marTop w:val="0"/>
              <w:marBottom w:val="0"/>
              <w:divBdr>
                <w:top w:val="none" w:sz="0" w:space="0" w:color="auto"/>
                <w:left w:val="none" w:sz="0" w:space="0" w:color="auto"/>
                <w:bottom w:val="none" w:sz="0" w:space="0" w:color="auto"/>
                <w:right w:val="none" w:sz="0" w:space="0" w:color="auto"/>
              </w:divBdr>
            </w:div>
          </w:divsChild>
        </w:div>
        <w:div w:id="1525436919">
          <w:marLeft w:val="0"/>
          <w:marRight w:val="0"/>
          <w:marTop w:val="0"/>
          <w:marBottom w:val="0"/>
          <w:divBdr>
            <w:top w:val="none" w:sz="0" w:space="0" w:color="auto"/>
            <w:left w:val="none" w:sz="0" w:space="0" w:color="auto"/>
            <w:bottom w:val="none" w:sz="0" w:space="0" w:color="auto"/>
            <w:right w:val="none" w:sz="0" w:space="0" w:color="auto"/>
          </w:divBdr>
          <w:divsChild>
            <w:div w:id="12464407">
              <w:marLeft w:val="0"/>
              <w:marRight w:val="0"/>
              <w:marTop w:val="0"/>
              <w:marBottom w:val="0"/>
              <w:divBdr>
                <w:top w:val="none" w:sz="0" w:space="0" w:color="auto"/>
                <w:left w:val="none" w:sz="0" w:space="0" w:color="auto"/>
                <w:bottom w:val="none" w:sz="0" w:space="0" w:color="auto"/>
                <w:right w:val="none" w:sz="0" w:space="0" w:color="auto"/>
              </w:divBdr>
            </w:div>
          </w:divsChild>
        </w:div>
        <w:div w:id="1252616339">
          <w:marLeft w:val="0"/>
          <w:marRight w:val="0"/>
          <w:marTop w:val="0"/>
          <w:marBottom w:val="0"/>
          <w:divBdr>
            <w:top w:val="none" w:sz="0" w:space="0" w:color="auto"/>
            <w:left w:val="none" w:sz="0" w:space="0" w:color="auto"/>
            <w:bottom w:val="none" w:sz="0" w:space="0" w:color="auto"/>
            <w:right w:val="none" w:sz="0" w:space="0" w:color="auto"/>
          </w:divBdr>
          <w:divsChild>
            <w:div w:id="1372455432">
              <w:marLeft w:val="0"/>
              <w:marRight w:val="0"/>
              <w:marTop w:val="0"/>
              <w:marBottom w:val="0"/>
              <w:divBdr>
                <w:top w:val="none" w:sz="0" w:space="0" w:color="auto"/>
                <w:left w:val="none" w:sz="0" w:space="0" w:color="auto"/>
                <w:bottom w:val="none" w:sz="0" w:space="0" w:color="auto"/>
                <w:right w:val="none" w:sz="0" w:space="0" w:color="auto"/>
              </w:divBdr>
            </w:div>
            <w:div w:id="1974366757">
              <w:marLeft w:val="0"/>
              <w:marRight w:val="0"/>
              <w:marTop w:val="0"/>
              <w:marBottom w:val="0"/>
              <w:divBdr>
                <w:top w:val="none" w:sz="0" w:space="0" w:color="auto"/>
                <w:left w:val="none" w:sz="0" w:space="0" w:color="auto"/>
                <w:bottom w:val="none" w:sz="0" w:space="0" w:color="auto"/>
                <w:right w:val="none" w:sz="0" w:space="0" w:color="auto"/>
              </w:divBdr>
            </w:div>
            <w:div w:id="541091214">
              <w:marLeft w:val="0"/>
              <w:marRight w:val="0"/>
              <w:marTop w:val="0"/>
              <w:marBottom w:val="0"/>
              <w:divBdr>
                <w:top w:val="none" w:sz="0" w:space="0" w:color="auto"/>
                <w:left w:val="none" w:sz="0" w:space="0" w:color="auto"/>
                <w:bottom w:val="none" w:sz="0" w:space="0" w:color="auto"/>
                <w:right w:val="none" w:sz="0" w:space="0" w:color="auto"/>
              </w:divBdr>
            </w:div>
            <w:div w:id="1317682461">
              <w:marLeft w:val="0"/>
              <w:marRight w:val="0"/>
              <w:marTop w:val="0"/>
              <w:marBottom w:val="0"/>
              <w:divBdr>
                <w:top w:val="none" w:sz="0" w:space="0" w:color="auto"/>
                <w:left w:val="none" w:sz="0" w:space="0" w:color="auto"/>
                <w:bottom w:val="none" w:sz="0" w:space="0" w:color="auto"/>
                <w:right w:val="none" w:sz="0" w:space="0" w:color="auto"/>
              </w:divBdr>
            </w:div>
            <w:div w:id="556938759">
              <w:marLeft w:val="0"/>
              <w:marRight w:val="0"/>
              <w:marTop w:val="0"/>
              <w:marBottom w:val="0"/>
              <w:divBdr>
                <w:top w:val="none" w:sz="0" w:space="0" w:color="auto"/>
                <w:left w:val="none" w:sz="0" w:space="0" w:color="auto"/>
                <w:bottom w:val="none" w:sz="0" w:space="0" w:color="auto"/>
                <w:right w:val="none" w:sz="0" w:space="0" w:color="auto"/>
              </w:divBdr>
            </w:div>
          </w:divsChild>
        </w:div>
        <w:div w:id="1970235987">
          <w:marLeft w:val="0"/>
          <w:marRight w:val="0"/>
          <w:marTop w:val="0"/>
          <w:marBottom w:val="0"/>
          <w:divBdr>
            <w:top w:val="none" w:sz="0" w:space="0" w:color="auto"/>
            <w:left w:val="none" w:sz="0" w:space="0" w:color="auto"/>
            <w:bottom w:val="none" w:sz="0" w:space="0" w:color="auto"/>
            <w:right w:val="none" w:sz="0" w:space="0" w:color="auto"/>
          </w:divBdr>
        </w:div>
        <w:div w:id="213588035">
          <w:marLeft w:val="0"/>
          <w:marRight w:val="0"/>
          <w:marTop w:val="0"/>
          <w:marBottom w:val="0"/>
          <w:divBdr>
            <w:top w:val="none" w:sz="0" w:space="0" w:color="auto"/>
            <w:left w:val="none" w:sz="0" w:space="0" w:color="auto"/>
            <w:bottom w:val="none" w:sz="0" w:space="0" w:color="auto"/>
            <w:right w:val="none" w:sz="0" w:space="0" w:color="auto"/>
          </w:divBdr>
        </w:div>
        <w:div w:id="1554583545">
          <w:marLeft w:val="0"/>
          <w:marRight w:val="0"/>
          <w:marTop w:val="0"/>
          <w:marBottom w:val="0"/>
          <w:divBdr>
            <w:top w:val="none" w:sz="0" w:space="0" w:color="auto"/>
            <w:left w:val="none" w:sz="0" w:space="0" w:color="auto"/>
            <w:bottom w:val="none" w:sz="0" w:space="0" w:color="auto"/>
            <w:right w:val="none" w:sz="0" w:space="0" w:color="auto"/>
          </w:divBdr>
        </w:div>
      </w:divsChild>
    </w:div>
    <w:div w:id="1283654413">
      <w:bodyDiv w:val="1"/>
      <w:marLeft w:val="0"/>
      <w:marRight w:val="0"/>
      <w:marTop w:val="0"/>
      <w:marBottom w:val="0"/>
      <w:divBdr>
        <w:top w:val="none" w:sz="0" w:space="0" w:color="auto"/>
        <w:left w:val="none" w:sz="0" w:space="0" w:color="auto"/>
        <w:bottom w:val="none" w:sz="0" w:space="0" w:color="auto"/>
        <w:right w:val="none" w:sz="0" w:space="0" w:color="auto"/>
      </w:divBdr>
      <w:divsChild>
        <w:div w:id="209271344">
          <w:marLeft w:val="0"/>
          <w:marRight w:val="0"/>
          <w:marTop w:val="0"/>
          <w:marBottom w:val="0"/>
          <w:divBdr>
            <w:top w:val="none" w:sz="0" w:space="0" w:color="auto"/>
            <w:left w:val="none" w:sz="0" w:space="0" w:color="auto"/>
            <w:bottom w:val="none" w:sz="0" w:space="0" w:color="auto"/>
            <w:right w:val="none" w:sz="0" w:space="0" w:color="auto"/>
          </w:divBdr>
        </w:div>
        <w:div w:id="1395473394">
          <w:marLeft w:val="0"/>
          <w:marRight w:val="0"/>
          <w:marTop w:val="0"/>
          <w:marBottom w:val="0"/>
          <w:divBdr>
            <w:top w:val="none" w:sz="0" w:space="0" w:color="auto"/>
            <w:left w:val="none" w:sz="0" w:space="0" w:color="auto"/>
            <w:bottom w:val="none" w:sz="0" w:space="0" w:color="auto"/>
            <w:right w:val="none" w:sz="0" w:space="0" w:color="auto"/>
          </w:divBdr>
        </w:div>
      </w:divsChild>
    </w:div>
    <w:div w:id="1314216290">
      <w:bodyDiv w:val="1"/>
      <w:marLeft w:val="0"/>
      <w:marRight w:val="0"/>
      <w:marTop w:val="0"/>
      <w:marBottom w:val="0"/>
      <w:divBdr>
        <w:top w:val="none" w:sz="0" w:space="0" w:color="auto"/>
        <w:left w:val="none" w:sz="0" w:space="0" w:color="auto"/>
        <w:bottom w:val="none" w:sz="0" w:space="0" w:color="auto"/>
        <w:right w:val="none" w:sz="0" w:space="0" w:color="auto"/>
      </w:divBdr>
    </w:div>
    <w:div w:id="1349258054">
      <w:bodyDiv w:val="1"/>
      <w:marLeft w:val="0"/>
      <w:marRight w:val="0"/>
      <w:marTop w:val="0"/>
      <w:marBottom w:val="0"/>
      <w:divBdr>
        <w:top w:val="none" w:sz="0" w:space="0" w:color="auto"/>
        <w:left w:val="none" w:sz="0" w:space="0" w:color="auto"/>
        <w:bottom w:val="none" w:sz="0" w:space="0" w:color="auto"/>
        <w:right w:val="none" w:sz="0" w:space="0" w:color="auto"/>
      </w:divBdr>
      <w:divsChild>
        <w:div w:id="1373069808">
          <w:marLeft w:val="0"/>
          <w:marRight w:val="0"/>
          <w:marTop w:val="0"/>
          <w:marBottom w:val="0"/>
          <w:divBdr>
            <w:top w:val="none" w:sz="0" w:space="0" w:color="auto"/>
            <w:left w:val="none" w:sz="0" w:space="0" w:color="auto"/>
            <w:bottom w:val="none" w:sz="0" w:space="0" w:color="auto"/>
            <w:right w:val="none" w:sz="0" w:space="0" w:color="auto"/>
          </w:divBdr>
        </w:div>
      </w:divsChild>
    </w:div>
    <w:div w:id="1622686426">
      <w:bodyDiv w:val="1"/>
      <w:marLeft w:val="0"/>
      <w:marRight w:val="0"/>
      <w:marTop w:val="0"/>
      <w:marBottom w:val="0"/>
      <w:divBdr>
        <w:top w:val="none" w:sz="0" w:space="0" w:color="auto"/>
        <w:left w:val="none" w:sz="0" w:space="0" w:color="auto"/>
        <w:bottom w:val="none" w:sz="0" w:space="0" w:color="auto"/>
        <w:right w:val="none" w:sz="0" w:space="0" w:color="auto"/>
      </w:divBdr>
    </w:div>
    <w:div w:id="1715543839">
      <w:bodyDiv w:val="1"/>
      <w:marLeft w:val="0"/>
      <w:marRight w:val="0"/>
      <w:marTop w:val="0"/>
      <w:marBottom w:val="0"/>
      <w:divBdr>
        <w:top w:val="none" w:sz="0" w:space="0" w:color="auto"/>
        <w:left w:val="none" w:sz="0" w:space="0" w:color="auto"/>
        <w:bottom w:val="none" w:sz="0" w:space="0" w:color="auto"/>
        <w:right w:val="none" w:sz="0" w:space="0" w:color="auto"/>
      </w:divBdr>
      <w:divsChild>
        <w:div w:id="148981004">
          <w:marLeft w:val="0"/>
          <w:marRight w:val="0"/>
          <w:marTop w:val="0"/>
          <w:marBottom w:val="0"/>
          <w:divBdr>
            <w:top w:val="none" w:sz="0" w:space="0" w:color="auto"/>
            <w:left w:val="none" w:sz="0" w:space="0" w:color="auto"/>
            <w:bottom w:val="none" w:sz="0" w:space="0" w:color="auto"/>
            <w:right w:val="none" w:sz="0" w:space="0" w:color="auto"/>
          </w:divBdr>
          <w:divsChild>
            <w:div w:id="2018381164">
              <w:marLeft w:val="0"/>
              <w:marRight w:val="0"/>
              <w:marTop w:val="0"/>
              <w:marBottom w:val="0"/>
              <w:divBdr>
                <w:top w:val="none" w:sz="0" w:space="0" w:color="auto"/>
                <w:left w:val="none" w:sz="0" w:space="0" w:color="auto"/>
                <w:bottom w:val="none" w:sz="0" w:space="0" w:color="auto"/>
                <w:right w:val="none" w:sz="0" w:space="0" w:color="auto"/>
              </w:divBdr>
            </w:div>
            <w:div w:id="38943359">
              <w:marLeft w:val="0"/>
              <w:marRight w:val="0"/>
              <w:marTop w:val="0"/>
              <w:marBottom w:val="0"/>
              <w:divBdr>
                <w:top w:val="none" w:sz="0" w:space="0" w:color="auto"/>
                <w:left w:val="none" w:sz="0" w:space="0" w:color="auto"/>
                <w:bottom w:val="none" w:sz="0" w:space="0" w:color="auto"/>
                <w:right w:val="none" w:sz="0" w:space="0" w:color="auto"/>
              </w:divBdr>
            </w:div>
            <w:div w:id="1090659207">
              <w:marLeft w:val="0"/>
              <w:marRight w:val="0"/>
              <w:marTop w:val="0"/>
              <w:marBottom w:val="0"/>
              <w:divBdr>
                <w:top w:val="none" w:sz="0" w:space="0" w:color="auto"/>
                <w:left w:val="none" w:sz="0" w:space="0" w:color="auto"/>
                <w:bottom w:val="none" w:sz="0" w:space="0" w:color="auto"/>
                <w:right w:val="none" w:sz="0" w:space="0" w:color="auto"/>
              </w:divBdr>
            </w:div>
          </w:divsChild>
        </w:div>
        <w:div w:id="1412582777">
          <w:marLeft w:val="0"/>
          <w:marRight w:val="0"/>
          <w:marTop w:val="0"/>
          <w:marBottom w:val="0"/>
          <w:divBdr>
            <w:top w:val="none" w:sz="0" w:space="0" w:color="auto"/>
            <w:left w:val="none" w:sz="0" w:space="0" w:color="auto"/>
            <w:bottom w:val="none" w:sz="0" w:space="0" w:color="auto"/>
            <w:right w:val="none" w:sz="0" w:space="0" w:color="auto"/>
          </w:divBdr>
          <w:divsChild>
            <w:div w:id="1802258936">
              <w:marLeft w:val="0"/>
              <w:marRight w:val="0"/>
              <w:marTop w:val="0"/>
              <w:marBottom w:val="0"/>
              <w:divBdr>
                <w:top w:val="none" w:sz="0" w:space="0" w:color="auto"/>
                <w:left w:val="none" w:sz="0" w:space="0" w:color="auto"/>
                <w:bottom w:val="none" w:sz="0" w:space="0" w:color="auto"/>
                <w:right w:val="none" w:sz="0" w:space="0" w:color="auto"/>
              </w:divBdr>
            </w:div>
          </w:divsChild>
        </w:div>
        <w:div w:id="658922137">
          <w:marLeft w:val="0"/>
          <w:marRight w:val="0"/>
          <w:marTop w:val="0"/>
          <w:marBottom w:val="0"/>
          <w:divBdr>
            <w:top w:val="none" w:sz="0" w:space="0" w:color="auto"/>
            <w:left w:val="none" w:sz="0" w:space="0" w:color="auto"/>
            <w:bottom w:val="none" w:sz="0" w:space="0" w:color="auto"/>
            <w:right w:val="none" w:sz="0" w:space="0" w:color="auto"/>
          </w:divBdr>
          <w:divsChild>
            <w:div w:id="1848514372">
              <w:marLeft w:val="0"/>
              <w:marRight w:val="0"/>
              <w:marTop w:val="0"/>
              <w:marBottom w:val="0"/>
              <w:divBdr>
                <w:top w:val="none" w:sz="0" w:space="0" w:color="auto"/>
                <w:left w:val="none" w:sz="0" w:space="0" w:color="auto"/>
                <w:bottom w:val="none" w:sz="0" w:space="0" w:color="auto"/>
                <w:right w:val="none" w:sz="0" w:space="0" w:color="auto"/>
              </w:divBdr>
            </w:div>
          </w:divsChild>
        </w:div>
        <w:div w:id="1645700884">
          <w:marLeft w:val="0"/>
          <w:marRight w:val="0"/>
          <w:marTop w:val="0"/>
          <w:marBottom w:val="0"/>
          <w:divBdr>
            <w:top w:val="none" w:sz="0" w:space="0" w:color="auto"/>
            <w:left w:val="none" w:sz="0" w:space="0" w:color="auto"/>
            <w:bottom w:val="none" w:sz="0" w:space="0" w:color="auto"/>
            <w:right w:val="none" w:sz="0" w:space="0" w:color="auto"/>
          </w:divBdr>
          <w:divsChild>
            <w:div w:id="125395762">
              <w:marLeft w:val="0"/>
              <w:marRight w:val="0"/>
              <w:marTop w:val="0"/>
              <w:marBottom w:val="0"/>
              <w:divBdr>
                <w:top w:val="none" w:sz="0" w:space="0" w:color="auto"/>
                <w:left w:val="none" w:sz="0" w:space="0" w:color="auto"/>
                <w:bottom w:val="none" w:sz="0" w:space="0" w:color="auto"/>
                <w:right w:val="none" w:sz="0" w:space="0" w:color="auto"/>
              </w:divBdr>
            </w:div>
            <w:div w:id="234556055">
              <w:marLeft w:val="0"/>
              <w:marRight w:val="0"/>
              <w:marTop w:val="0"/>
              <w:marBottom w:val="0"/>
              <w:divBdr>
                <w:top w:val="none" w:sz="0" w:space="0" w:color="auto"/>
                <w:left w:val="none" w:sz="0" w:space="0" w:color="auto"/>
                <w:bottom w:val="none" w:sz="0" w:space="0" w:color="auto"/>
                <w:right w:val="none" w:sz="0" w:space="0" w:color="auto"/>
              </w:divBdr>
            </w:div>
            <w:div w:id="1409037694">
              <w:marLeft w:val="0"/>
              <w:marRight w:val="0"/>
              <w:marTop w:val="0"/>
              <w:marBottom w:val="0"/>
              <w:divBdr>
                <w:top w:val="none" w:sz="0" w:space="0" w:color="auto"/>
                <w:left w:val="none" w:sz="0" w:space="0" w:color="auto"/>
                <w:bottom w:val="none" w:sz="0" w:space="0" w:color="auto"/>
                <w:right w:val="none" w:sz="0" w:space="0" w:color="auto"/>
              </w:divBdr>
            </w:div>
            <w:div w:id="533730542">
              <w:marLeft w:val="0"/>
              <w:marRight w:val="0"/>
              <w:marTop w:val="0"/>
              <w:marBottom w:val="0"/>
              <w:divBdr>
                <w:top w:val="none" w:sz="0" w:space="0" w:color="auto"/>
                <w:left w:val="none" w:sz="0" w:space="0" w:color="auto"/>
                <w:bottom w:val="none" w:sz="0" w:space="0" w:color="auto"/>
                <w:right w:val="none" w:sz="0" w:space="0" w:color="auto"/>
              </w:divBdr>
            </w:div>
            <w:div w:id="8023884">
              <w:marLeft w:val="0"/>
              <w:marRight w:val="0"/>
              <w:marTop w:val="0"/>
              <w:marBottom w:val="0"/>
              <w:divBdr>
                <w:top w:val="none" w:sz="0" w:space="0" w:color="auto"/>
                <w:left w:val="none" w:sz="0" w:space="0" w:color="auto"/>
                <w:bottom w:val="none" w:sz="0" w:space="0" w:color="auto"/>
                <w:right w:val="none" w:sz="0" w:space="0" w:color="auto"/>
              </w:divBdr>
            </w:div>
          </w:divsChild>
        </w:div>
        <w:div w:id="174151186">
          <w:marLeft w:val="0"/>
          <w:marRight w:val="0"/>
          <w:marTop w:val="0"/>
          <w:marBottom w:val="0"/>
          <w:divBdr>
            <w:top w:val="none" w:sz="0" w:space="0" w:color="auto"/>
            <w:left w:val="none" w:sz="0" w:space="0" w:color="auto"/>
            <w:bottom w:val="none" w:sz="0" w:space="0" w:color="auto"/>
            <w:right w:val="none" w:sz="0" w:space="0" w:color="auto"/>
          </w:divBdr>
        </w:div>
        <w:div w:id="444078297">
          <w:marLeft w:val="0"/>
          <w:marRight w:val="0"/>
          <w:marTop w:val="0"/>
          <w:marBottom w:val="0"/>
          <w:divBdr>
            <w:top w:val="none" w:sz="0" w:space="0" w:color="auto"/>
            <w:left w:val="none" w:sz="0" w:space="0" w:color="auto"/>
            <w:bottom w:val="none" w:sz="0" w:space="0" w:color="auto"/>
            <w:right w:val="none" w:sz="0" w:space="0" w:color="auto"/>
          </w:divBdr>
        </w:div>
        <w:div w:id="1276671173">
          <w:marLeft w:val="0"/>
          <w:marRight w:val="0"/>
          <w:marTop w:val="0"/>
          <w:marBottom w:val="0"/>
          <w:divBdr>
            <w:top w:val="none" w:sz="0" w:space="0" w:color="auto"/>
            <w:left w:val="none" w:sz="0" w:space="0" w:color="auto"/>
            <w:bottom w:val="none" w:sz="0" w:space="0" w:color="auto"/>
            <w:right w:val="none" w:sz="0" w:space="0" w:color="auto"/>
          </w:divBdr>
        </w:div>
      </w:divsChild>
    </w:div>
    <w:div w:id="1955357439">
      <w:bodyDiv w:val="1"/>
      <w:marLeft w:val="0"/>
      <w:marRight w:val="0"/>
      <w:marTop w:val="0"/>
      <w:marBottom w:val="0"/>
      <w:divBdr>
        <w:top w:val="none" w:sz="0" w:space="0" w:color="auto"/>
        <w:left w:val="none" w:sz="0" w:space="0" w:color="auto"/>
        <w:bottom w:val="none" w:sz="0" w:space="0" w:color="auto"/>
        <w:right w:val="none" w:sz="0" w:space="0" w:color="auto"/>
      </w:divBdr>
    </w:div>
    <w:div w:id="1981185587">
      <w:bodyDiv w:val="1"/>
      <w:marLeft w:val="0"/>
      <w:marRight w:val="0"/>
      <w:marTop w:val="0"/>
      <w:marBottom w:val="0"/>
      <w:divBdr>
        <w:top w:val="none" w:sz="0" w:space="0" w:color="auto"/>
        <w:left w:val="none" w:sz="0" w:space="0" w:color="auto"/>
        <w:bottom w:val="none" w:sz="0" w:space="0" w:color="auto"/>
        <w:right w:val="none" w:sz="0" w:space="0" w:color="auto"/>
      </w:divBdr>
      <w:divsChild>
        <w:div w:id="1015956091">
          <w:marLeft w:val="0"/>
          <w:marRight w:val="0"/>
          <w:marTop w:val="0"/>
          <w:marBottom w:val="0"/>
          <w:divBdr>
            <w:top w:val="none" w:sz="0" w:space="0" w:color="auto"/>
            <w:left w:val="none" w:sz="0" w:space="0" w:color="auto"/>
            <w:bottom w:val="none" w:sz="0" w:space="0" w:color="auto"/>
            <w:right w:val="none" w:sz="0" w:space="0" w:color="auto"/>
          </w:divBdr>
        </w:div>
        <w:div w:id="220098581">
          <w:marLeft w:val="0"/>
          <w:marRight w:val="0"/>
          <w:marTop w:val="0"/>
          <w:marBottom w:val="0"/>
          <w:divBdr>
            <w:top w:val="none" w:sz="0" w:space="0" w:color="auto"/>
            <w:left w:val="none" w:sz="0" w:space="0" w:color="auto"/>
            <w:bottom w:val="none" w:sz="0" w:space="0" w:color="auto"/>
            <w:right w:val="none" w:sz="0" w:space="0" w:color="auto"/>
          </w:divBdr>
        </w:div>
        <w:div w:id="2026470959">
          <w:marLeft w:val="0"/>
          <w:marRight w:val="0"/>
          <w:marTop w:val="0"/>
          <w:marBottom w:val="0"/>
          <w:divBdr>
            <w:top w:val="none" w:sz="0" w:space="0" w:color="auto"/>
            <w:left w:val="none" w:sz="0" w:space="0" w:color="auto"/>
            <w:bottom w:val="none" w:sz="0" w:space="0" w:color="auto"/>
            <w:right w:val="none" w:sz="0" w:space="0" w:color="auto"/>
          </w:divBdr>
        </w:div>
        <w:div w:id="109401226">
          <w:marLeft w:val="0"/>
          <w:marRight w:val="0"/>
          <w:marTop w:val="0"/>
          <w:marBottom w:val="0"/>
          <w:divBdr>
            <w:top w:val="none" w:sz="0" w:space="0" w:color="auto"/>
            <w:left w:val="none" w:sz="0" w:space="0" w:color="auto"/>
            <w:bottom w:val="none" w:sz="0" w:space="0" w:color="auto"/>
            <w:right w:val="none" w:sz="0" w:space="0" w:color="auto"/>
          </w:divBdr>
        </w:div>
        <w:div w:id="1455950144">
          <w:marLeft w:val="0"/>
          <w:marRight w:val="0"/>
          <w:marTop w:val="0"/>
          <w:marBottom w:val="0"/>
          <w:divBdr>
            <w:top w:val="none" w:sz="0" w:space="0" w:color="auto"/>
            <w:left w:val="none" w:sz="0" w:space="0" w:color="auto"/>
            <w:bottom w:val="none" w:sz="0" w:space="0" w:color="auto"/>
            <w:right w:val="none" w:sz="0" w:space="0" w:color="auto"/>
          </w:divBdr>
        </w:div>
      </w:divsChild>
    </w:div>
    <w:div w:id="2045596747">
      <w:bodyDiv w:val="1"/>
      <w:marLeft w:val="0"/>
      <w:marRight w:val="0"/>
      <w:marTop w:val="0"/>
      <w:marBottom w:val="0"/>
      <w:divBdr>
        <w:top w:val="none" w:sz="0" w:space="0" w:color="auto"/>
        <w:left w:val="none" w:sz="0" w:space="0" w:color="auto"/>
        <w:bottom w:val="none" w:sz="0" w:space="0" w:color="auto"/>
        <w:right w:val="none" w:sz="0" w:space="0" w:color="auto"/>
      </w:divBdr>
      <w:divsChild>
        <w:div w:id="1549099067">
          <w:marLeft w:val="0"/>
          <w:marRight w:val="0"/>
          <w:marTop w:val="0"/>
          <w:marBottom w:val="0"/>
          <w:divBdr>
            <w:top w:val="none" w:sz="0" w:space="0" w:color="auto"/>
            <w:left w:val="none" w:sz="0" w:space="0" w:color="auto"/>
            <w:bottom w:val="none" w:sz="0" w:space="0" w:color="auto"/>
            <w:right w:val="none" w:sz="0" w:space="0" w:color="auto"/>
          </w:divBdr>
        </w:div>
        <w:div w:id="1259757955">
          <w:marLeft w:val="0"/>
          <w:marRight w:val="0"/>
          <w:marTop w:val="0"/>
          <w:marBottom w:val="0"/>
          <w:divBdr>
            <w:top w:val="none" w:sz="0" w:space="0" w:color="auto"/>
            <w:left w:val="none" w:sz="0" w:space="0" w:color="auto"/>
            <w:bottom w:val="none" w:sz="0" w:space="0" w:color="auto"/>
            <w:right w:val="none" w:sz="0" w:space="0" w:color="auto"/>
          </w:divBdr>
        </w:div>
      </w:divsChild>
    </w:div>
    <w:div w:id="20843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bileworldcapital-my.sharepoint.com/personal/dlopez_mobileworldcapital_com/Documents/Escritorio/Propuesta%20presupuesto%202022.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mobileworldcapital-my.sharepoint.com/personal/dlopez_mobileworldcapital_com/Documents/Escritorio/Propuesta%20presupuesto%202022.docx"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mobileworldcapital-my.sharepoint.com/personal/dlopez_mobileworldcapital_com/Documents/Escritorio/Propuesta%20presupuesto%202022.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bileworldcapital-my.sharepoint.com/personal/dlopez_mobileworldcapital_com/Documents/Escritorio/Propuesta%20presupuesto%202022.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obileworldcapital-my.sharepoint.com/personal/dlopez_mobileworldcapital_com/Documents/Escritorio/Propuesta%20presupuesto%202022.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bileworldcapital-my.sharepoint.com/personal/dlopez_mobileworldcapital_com/Documents/Escritorio/Propuesta%20presupuesto%202022.docx" TargetMode="External"/><Relationship Id="rId22"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32D1A96C4726446868C3B4BA994D226" ma:contentTypeVersion="13" ma:contentTypeDescription="Crear nuevo documento." ma:contentTypeScope="" ma:versionID="765d40285b830e09a09c9b766d07a3f4">
  <xsd:schema xmlns:xsd="http://www.w3.org/2001/XMLSchema" xmlns:xs="http://www.w3.org/2001/XMLSchema" xmlns:p="http://schemas.microsoft.com/office/2006/metadata/properties" xmlns:ns3="a34e0fbf-7d64-481c-bd62-954559f22d69" xmlns:ns4="6403f97e-9833-419b-9ad2-17dd940c787b" targetNamespace="http://schemas.microsoft.com/office/2006/metadata/properties" ma:root="true" ma:fieldsID="11e8b629ba83f7d9ef928e3ccc334990" ns3:_="" ns4:_="">
    <xsd:import namespace="a34e0fbf-7d64-481c-bd62-954559f22d69"/>
    <xsd:import namespace="6403f97e-9833-419b-9ad2-17dd940c78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e0fbf-7d64-481c-bd62-954559f22d6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3f97e-9833-419b-9ad2-17dd940c78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246A0-99BB-466D-A132-A01730547053}">
  <ds:schemaRefs>
    <ds:schemaRef ds:uri="http://schemas.openxmlformats.org/officeDocument/2006/bibliography"/>
  </ds:schemaRefs>
</ds:datastoreItem>
</file>

<file path=customXml/itemProps2.xml><?xml version="1.0" encoding="utf-8"?>
<ds:datastoreItem xmlns:ds="http://schemas.openxmlformats.org/officeDocument/2006/customXml" ds:itemID="{CED5E17C-1DC2-46CF-9525-DD3FDC1195A1}">
  <ds:schemaRefs>
    <ds:schemaRef ds:uri="http://schemas.microsoft.com/sharepoint/v3/contenttype/forms"/>
  </ds:schemaRefs>
</ds:datastoreItem>
</file>

<file path=customXml/itemProps3.xml><?xml version="1.0" encoding="utf-8"?>
<ds:datastoreItem xmlns:ds="http://schemas.openxmlformats.org/officeDocument/2006/customXml" ds:itemID="{3DEB92D8-17AE-4088-8998-588CEB4F41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F77E7E-A6CB-4B6C-A057-92370005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e0fbf-7d64-481c-bd62-954559f22d69"/>
    <ds:schemaRef ds:uri="6403f97e-9833-419b-9ad2-17dd940c7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37</Pages>
  <Words>10476</Words>
  <Characters>57621</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Mir</dc:creator>
  <cp:keywords/>
  <dc:description/>
  <cp:lastModifiedBy>Diana López</cp:lastModifiedBy>
  <cp:revision>387</cp:revision>
  <dcterms:created xsi:type="dcterms:W3CDTF">2021-10-14T15:58:00Z</dcterms:created>
  <dcterms:modified xsi:type="dcterms:W3CDTF">2022-03-28T13:29:00Z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0x010100D32D1A96C4726446868C3B4BA994D226</vt:lpwstr>
  </property>
</Properties>
</file>